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2946" w:rsidRDefault="008F2946" w:rsidP="007D4D69">
      <w:pPr>
        <w:pStyle w:val="H2"/>
        <w:rPr>
          <w:sz w:val="24"/>
          <w:szCs w:val="24"/>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1"/>
        <w:gridCol w:w="2089"/>
      </w:tblGrid>
      <w:tr w:rsidR="008F2946" w:rsidRPr="00090A91" w:rsidTr="00DE0378">
        <w:trPr>
          <w:trHeight w:val="1700"/>
          <w:jc w:val="center"/>
        </w:trPr>
        <w:tc>
          <w:tcPr>
            <w:tcW w:w="1561" w:type="dxa"/>
          </w:tcPr>
          <w:p w:rsidR="008F2946" w:rsidRPr="00090A91" w:rsidRDefault="008F2946" w:rsidP="00263D6F">
            <w:pPr>
              <w:jc w:val="center"/>
              <w:rPr>
                <w:rFonts w:cstheme="minorHAnsi"/>
                <w:color w:val="0070C0"/>
                <w:sz w:val="24"/>
                <w:szCs w:val="24"/>
                <w:lang w:bidi="ar-EG"/>
              </w:rPr>
            </w:pPr>
            <w:r w:rsidRPr="00090A91">
              <w:rPr>
                <w:rFonts w:cstheme="minorHAnsi"/>
                <w:noProof/>
                <w:color w:val="0070C0"/>
                <w:sz w:val="24"/>
                <w:szCs w:val="24"/>
              </w:rPr>
              <w:drawing>
                <wp:inline distT="0" distB="0" distL="0" distR="0">
                  <wp:extent cx="659959" cy="1398950"/>
                  <wp:effectExtent l="19050" t="0" r="0" b="0"/>
                  <wp:docPr id="35" name="Picture 3" descr="UNDP_Logo-Blue-w-TaglineWhite-EN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DP_Logo-Blue-w-TaglineWhite-ENG.gif"/>
                          <pic:cNvPicPr>
                            <a:picLocks noChangeAspect="1" noChangeArrowheads="1"/>
                          </pic:cNvPicPr>
                        </pic:nvPicPr>
                        <pic:blipFill>
                          <a:blip r:embed="rId8"/>
                          <a:srcRect l="40547" t="23442" r="39420" b="30708"/>
                          <a:stretch>
                            <a:fillRect/>
                          </a:stretch>
                        </pic:blipFill>
                        <pic:spPr bwMode="auto">
                          <a:xfrm>
                            <a:off x="0" y="0"/>
                            <a:ext cx="660237" cy="1399540"/>
                          </a:xfrm>
                          <a:prstGeom prst="rect">
                            <a:avLst/>
                          </a:prstGeom>
                          <a:noFill/>
                          <a:ln w="9525">
                            <a:noFill/>
                            <a:miter lim="800000"/>
                            <a:headEnd/>
                            <a:tailEnd/>
                          </a:ln>
                        </pic:spPr>
                      </pic:pic>
                    </a:graphicData>
                  </a:graphic>
                </wp:inline>
              </w:drawing>
            </w:r>
          </w:p>
        </w:tc>
        <w:tc>
          <w:tcPr>
            <w:tcW w:w="1615" w:type="dxa"/>
          </w:tcPr>
          <w:p w:rsidR="008F2946" w:rsidRPr="00090A91" w:rsidRDefault="008F2946" w:rsidP="00DE0378">
            <w:pPr>
              <w:jc w:val="center"/>
              <w:rPr>
                <w:rFonts w:cstheme="minorHAnsi"/>
                <w:color w:val="0070C0"/>
                <w:sz w:val="24"/>
                <w:szCs w:val="24"/>
                <w:lang w:bidi="ar-EG"/>
              </w:rPr>
            </w:pPr>
            <w:r w:rsidRPr="00090A91">
              <w:rPr>
                <w:rFonts w:cstheme="minorHAnsi"/>
                <w:color w:val="0070C0"/>
                <w:sz w:val="24"/>
                <w:szCs w:val="24"/>
              </w:rPr>
              <w:object w:dxaOrig="1380" w:dyaOrig="12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3.6pt;height:81pt" o:ole="">
                  <v:imagedata r:id="rId9" o:title=""/>
                </v:shape>
                <o:OLEObject Type="Embed" ProgID="PBrush" ShapeID="_x0000_i1025" DrawAspect="Content" ObjectID="_1609241259" r:id="rId10"/>
              </w:object>
            </w:r>
          </w:p>
        </w:tc>
      </w:tr>
    </w:tbl>
    <w:p w:rsidR="00263D6F" w:rsidRPr="00263D6F" w:rsidRDefault="00090A91" w:rsidP="00263D6F">
      <w:pPr>
        <w:pStyle w:val="H2"/>
        <w:rPr>
          <w:sz w:val="24"/>
          <w:szCs w:val="24"/>
        </w:rPr>
      </w:pPr>
      <w:r w:rsidRPr="00090A91">
        <w:rPr>
          <w:sz w:val="24"/>
          <w:szCs w:val="24"/>
        </w:rPr>
        <w:t xml:space="preserve"> </w:t>
      </w:r>
    </w:p>
    <w:p w:rsidR="00263D6F" w:rsidRPr="00263D6F" w:rsidRDefault="00263D6F" w:rsidP="00263D6F">
      <w:pPr>
        <w:jc w:val="center"/>
      </w:pPr>
      <w:r>
        <w:rPr>
          <w:noProof/>
        </w:rPr>
        <w:drawing>
          <wp:inline distT="0" distB="0" distL="0" distR="0" wp14:anchorId="6E425CCA" wp14:editId="02EEA932">
            <wp:extent cx="1543050" cy="46482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548471" cy="466453"/>
                    </a:xfrm>
                    <a:prstGeom prst="rect">
                      <a:avLst/>
                    </a:prstGeom>
                  </pic:spPr>
                </pic:pic>
              </a:graphicData>
            </a:graphic>
          </wp:inline>
        </w:drawing>
      </w:r>
    </w:p>
    <w:p w:rsidR="00B514E5" w:rsidRPr="00090A91" w:rsidRDefault="00C72330" w:rsidP="002C7929">
      <w:pPr>
        <w:spacing w:before="120" w:after="120" w:line="300" w:lineRule="exact"/>
        <w:jc w:val="center"/>
        <w:rPr>
          <w:rFonts w:cstheme="minorHAnsi"/>
          <w:b/>
          <w:color w:val="7030A0"/>
          <w:sz w:val="24"/>
          <w:szCs w:val="24"/>
        </w:rPr>
      </w:pPr>
      <w:r w:rsidRPr="00090A91">
        <w:rPr>
          <w:rFonts w:cstheme="minorHAnsi"/>
          <w:b/>
          <w:color w:val="7030A0"/>
          <w:sz w:val="24"/>
          <w:szCs w:val="24"/>
        </w:rPr>
        <w:t>STRENGTHENING ARAB ECONOMIC INTEGRATION FOR SUSTAINABLE DEVELOPMENT</w:t>
      </w:r>
    </w:p>
    <w:p w:rsidR="00263D6F" w:rsidRDefault="00263D6F" w:rsidP="002C7929">
      <w:pPr>
        <w:pStyle w:val="H2"/>
        <w:spacing w:before="120" w:after="120" w:line="300" w:lineRule="exact"/>
        <w:jc w:val="center"/>
        <w:rPr>
          <w:rFonts w:asciiTheme="minorHAnsi" w:hAnsiTheme="minorHAnsi" w:cstheme="minorHAnsi"/>
          <w:color w:val="7030A0"/>
          <w:sz w:val="24"/>
          <w:szCs w:val="24"/>
        </w:rPr>
      </w:pPr>
    </w:p>
    <w:p w:rsidR="00263D6F" w:rsidRPr="00090A91" w:rsidRDefault="00263D6F" w:rsidP="00263D6F">
      <w:pPr>
        <w:spacing w:before="120" w:after="120" w:line="300" w:lineRule="exact"/>
        <w:jc w:val="center"/>
        <w:rPr>
          <w:rFonts w:cstheme="minorHAnsi"/>
          <w:b/>
          <w:color w:val="7030A0"/>
          <w:sz w:val="24"/>
          <w:szCs w:val="24"/>
        </w:rPr>
      </w:pPr>
      <w:r>
        <w:rPr>
          <w:rFonts w:cstheme="minorHAnsi"/>
          <w:b/>
          <w:color w:val="7030A0"/>
          <w:sz w:val="24"/>
          <w:szCs w:val="24"/>
        </w:rPr>
        <w:t>LAUNCH OF THE PROJECT IMPLEMENTATION IN EGYPT CUSTOMS AUTHORITIES</w:t>
      </w:r>
    </w:p>
    <w:p w:rsidR="00263D6F" w:rsidRDefault="00263D6F" w:rsidP="002C7929">
      <w:pPr>
        <w:pStyle w:val="H2"/>
        <w:spacing w:before="120" w:after="120" w:line="300" w:lineRule="exact"/>
        <w:jc w:val="center"/>
        <w:rPr>
          <w:rFonts w:asciiTheme="minorHAnsi" w:hAnsiTheme="minorHAnsi" w:cstheme="minorHAnsi"/>
          <w:color w:val="7030A0"/>
          <w:sz w:val="24"/>
          <w:szCs w:val="24"/>
        </w:rPr>
      </w:pPr>
    </w:p>
    <w:p w:rsidR="00263D6F" w:rsidRDefault="00263D6F" w:rsidP="002C7929">
      <w:pPr>
        <w:pStyle w:val="H2"/>
        <w:spacing w:before="120" w:after="120" w:line="300" w:lineRule="exact"/>
        <w:jc w:val="center"/>
        <w:rPr>
          <w:rFonts w:asciiTheme="minorHAnsi" w:hAnsiTheme="minorHAnsi" w:cstheme="minorHAnsi"/>
          <w:color w:val="7030A0"/>
          <w:sz w:val="24"/>
          <w:szCs w:val="24"/>
        </w:rPr>
      </w:pPr>
    </w:p>
    <w:p w:rsidR="002C7929" w:rsidRPr="00090A91" w:rsidRDefault="002C7929" w:rsidP="002C7929">
      <w:pPr>
        <w:pStyle w:val="H2"/>
        <w:spacing w:before="120" w:after="120" w:line="300" w:lineRule="exact"/>
        <w:jc w:val="center"/>
        <w:rPr>
          <w:rFonts w:asciiTheme="minorHAnsi" w:hAnsiTheme="minorHAnsi" w:cstheme="minorHAnsi"/>
          <w:color w:val="7030A0"/>
          <w:sz w:val="24"/>
          <w:szCs w:val="24"/>
        </w:rPr>
      </w:pPr>
      <w:r w:rsidRPr="00090A91">
        <w:rPr>
          <w:rFonts w:asciiTheme="minorHAnsi" w:hAnsiTheme="minorHAnsi" w:cstheme="minorHAnsi"/>
          <w:color w:val="7030A0"/>
          <w:sz w:val="24"/>
          <w:szCs w:val="24"/>
        </w:rPr>
        <w:t>NATIONAL SEMINAR FOR SENIOR MANAGEMENT OF EGYPTIAN CUSTOMS AUTHORITIES AND AGENCIES IN CHARGE OF EGYPT NATIONAL SINGLE WINDOW</w:t>
      </w:r>
    </w:p>
    <w:p w:rsidR="002C7929" w:rsidRPr="00090A91" w:rsidRDefault="002C7929" w:rsidP="008F2946">
      <w:pPr>
        <w:pStyle w:val="H2"/>
        <w:jc w:val="center"/>
        <w:rPr>
          <w:rFonts w:ascii="Arial" w:hAnsi="Arial" w:cs="Arial"/>
          <w:color w:val="548DD4" w:themeColor="text2" w:themeTint="99"/>
          <w:sz w:val="22"/>
          <w:szCs w:val="22"/>
        </w:rPr>
      </w:pPr>
    </w:p>
    <w:p w:rsidR="007D4D69" w:rsidRPr="00090A91" w:rsidRDefault="007D4D69" w:rsidP="008F2946">
      <w:pPr>
        <w:pStyle w:val="H2"/>
        <w:jc w:val="center"/>
        <w:rPr>
          <w:rFonts w:ascii="Arial" w:hAnsi="Arial" w:cs="Arial"/>
          <w:color w:val="548DD4" w:themeColor="text2" w:themeTint="99"/>
          <w:sz w:val="24"/>
          <w:szCs w:val="24"/>
        </w:rPr>
      </w:pPr>
      <w:r w:rsidRPr="00090A91">
        <w:rPr>
          <w:rFonts w:ascii="Arial" w:hAnsi="Arial" w:cs="Arial"/>
          <w:color w:val="548DD4" w:themeColor="text2" w:themeTint="99"/>
          <w:sz w:val="24"/>
          <w:szCs w:val="24"/>
        </w:rPr>
        <w:t xml:space="preserve">Draft </w:t>
      </w:r>
      <w:r w:rsidR="002C7929" w:rsidRPr="00090A91">
        <w:rPr>
          <w:rFonts w:ascii="Arial" w:hAnsi="Arial" w:cs="Arial"/>
          <w:color w:val="548DD4" w:themeColor="text2" w:themeTint="99"/>
          <w:sz w:val="24"/>
          <w:szCs w:val="24"/>
        </w:rPr>
        <w:t>C</w:t>
      </w:r>
      <w:r w:rsidRPr="00090A91">
        <w:rPr>
          <w:rFonts w:ascii="Arial" w:hAnsi="Arial" w:cs="Arial"/>
          <w:color w:val="548DD4" w:themeColor="text2" w:themeTint="99"/>
          <w:sz w:val="24"/>
          <w:szCs w:val="24"/>
        </w:rPr>
        <w:t xml:space="preserve">oncept </w:t>
      </w:r>
      <w:r w:rsidR="002C7929" w:rsidRPr="00090A91">
        <w:rPr>
          <w:rFonts w:ascii="Arial" w:hAnsi="Arial" w:cs="Arial"/>
          <w:color w:val="548DD4" w:themeColor="text2" w:themeTint="99"/>
          <w:sz w:val="24"/>
          <w:szCs w:val="24"/>
        </w:rPr>
        <w:t>N</w:t>
      </w:r>
      <w:r w:rsidRPr="00090A91">
        <w:rPr>
          <w:rFonts w:ascii="Arial" w:hAnsi="Arial" w:cs="Arial"/>
          <w:color w:val="548DD4" w:themeColor="text2" w:themeTint="99"/>
          <w:sz w:val="24"/>
          <w:szCs w:val="24"/>
        </w:rPr>
        <w:t xml:space="preserve">ote and </w:t>
      </w:r>
      <w:r w:rsidR="002C7929" w:rsidRPr="00090A91">
        <w:rPr>
          <w:rFonts w:ascii="Arial" w:hAnsi="Arial" w:cs="Arial"/>
          <w:color w:val="548DD4" w:themeColor="text2" w:themeTint="99"/>
          <w:sz w:val="24"/>
          <w:szCs w:val="24"/>
        </w:rPr>
        <w:t>Provisional Annotated</w:t>
      </w:r>
      <w:r w:rsidR="00435FFD" w:rsidRPr="00090A91">
        <w:rPr>
          <w:rFonts w:ascii="Arial" w:hAnsi="Arial" w:cs="Arial"/>
          <w:color w:val="548DD4" w:themeColor="text2" w:themeTint="99"/>
          <w:sz w:val="24"/>
          <w:szCs w:val="24"/>
        </w:rPr>
        <w:t xml:space="preserve"> </w:t>
      </w:r>
      <w:r w:rsidR="002C7929" w:rsidRPr="00090A91">
        <w:rPr>
          <w:rFonts w:ascii="Arial" w:hAnsi="Arial" w:cs="Arial"/>
          <w:color w:val="548DD4" w:themeColor="text2" w:themeTint="99"/>
          <w:sz w:val="24"/>
          <w:szCs w:val="24"/>
        </w:rPr>
        <w:t>A</w:t>
      </w:r>
      <w:r w:rsidRPr="00090A91">
        <w:rPr>
          <w:rFonts w:ascii="Arial" w:hAnsi="Arial" w:cs="Arial"/>
          <w:color w:val="548DD4" w:themeColor="text2" w:themeTint="99"/>
          <w:sz w:val="24"/>
          <w:szCs w:val="24"/>
        </w:rPr>
        <w:t>genda</w:t>
      </w:r>
      <w:r w:rsidR="00B514E5" w:rsidRPr="00090A91">
        <w:rPr>
          <w:rFonts w:ascii="Arial" w:hAnsi="Arial" w:cs="Arial"/>
          <w:color w:val="548DD4" w:themeColor="text2" w:themeTint="99"/>
          <w:sz w:val="24"/>
          <w:szCs w:val="24"/>
        </w:rPr>
        <w:t xml:space="preserve"> </w:t>
      </w:r>
    </w:p>
    <w:p w:rsidR="007D4D69" w:rsidRPr="00090A91" w:rsidRDefault="007D4D69">
      <w:pPr>
        <w:rPr>
          <w:rFonts w:ascii="Arial" w:hAnsi="Arial" w:cs="Arial"/>
        </w:rPr>
      </w:pPr>
    </w:p>
    <w:p w:rsidR="005E30EE" w:rsidRPr="00090A91" w:rsidRDefault="005E30EE" w:rsidP="005E30EE">
      <w:pPr>
        <w:jc w:val="center"/>
        <w:rPr>
          <w:rFonts w:ascii="Arial" w:hAnsi="Arial" w:cs="Arial"/>
          <w:color w:val="0070C0"/>
          <w:lang w:bidi="ar-EG"/>
        </w:rPr>
      </w:pPr>
    </w:p>
    <w:p w:rsidR="005E30EE" w:rsidRPr="00090A91" w:rsidRDefault="005E30EE" w:rsidP="005E30EE">
      <w:pPr>
        <w:jc w:val="center"/>
        <w:rPr>
          <w:rFonts w:ascii="Arial" w:hAnsi="Arial" w:cs="Arial"/>
          <w:color w:val="0070C0"/>
          <w:lang w:bidi="ar-EG"/>
        </w:rPr>
      </w:pPr>
    </w:p>
    <w:p w:rsidR="005E30EE" w:rsidRPr="00090A91" w:rsidRDefault="005E30EE" w:rsidP="00926CE0">
      <w:pPr>
        <w:jc w:val="center"/>
        <w:rPr>
          <w:rFonts w:ascii="Arial" w:hAnsi="Arial" w:cs="Arial"/>
          <w:color w:val="0070C0"/>
          <w:lang w:bidi="ar-EG"/>
        </w:rPr>
      </w:pPr>
      <w:r w:rsidRPr="00090A91">
        <w:rPr>
          <w:rFonts w:ascii="Arial" w:hAnsi="Arial" w:cs="Arial"/>
          <w:color w:val="0070C0"/>
          <w:lang w:bidi="ar-EG"/>
        </w:rPr>
        <w:t xml:space="preserve">(Cairo, Egypt, </w:t>
      </w:r>
      <w:r w:rsidR="00926CE0" w:rsidRPr="00090A91">
        <w:rPr>
          <w:rFonts w:ascii="Arial" w:hAnsi="Arial" w:cs="Arial"/>
          <w:color w:val="0070C0"/>
          <w:lang w:bidi="ar-EG"/>
        </w:rPr>
        <w:t>January</w:t>
      </w:r>
      <w:r w:rsidR="002C7929" w:rsidRPr="00090A91">
        <w:rPr>
          <w:rFonts w:ascii="Arial" w:hAnsi="Arial" w:cs="Arial"/>
          <w:color w:val="0070C0"/>
          <w:lang w:bidi="ar-EG"/>
        </w:rPr>
        <w:t xml:space="preserve"> 22</w:t>
      </w:r>
      <w:r w:rsidR="002C7929" w:rsidRPr="00090A91">
        <w:rPr>
          <w:rFonts w:ascii="Arial" w:hAnsi="Arial" w:cs="Arial"/>
          <w:color w:val="0070C0"/>
          <w:vertAlign w:val="superscript"/>
          <w:lang w:bidi="ar-EG"/>
        </w:rPr>
        <w:t>nd</w:t>
      </w:r>
      <w:r w:rsidR="002C7929" w:rsidRPr="00090A91">
        <w:rPr>
          <w:rFonts w:ascii="Arial" w:hAnsi="Arial" w:cs="Arial"/>
          <w:color w:val="0070C0"/>
          <w:lang w:bidi="ar-EG"/>
        </w:rPr>
        <w:t xml:space="preserve"> and 23rd</w:t>
      </w:r>
      <w:r w:rsidRPr="00090A91">
        <w:rPr>
          <w:rFonts w:ascii="Arial" w:hAnsi="Arial" w:cs="Arial"/>
          <w:color w:val="0070C0"/>
          <w:lang w:bidi="ar-EG"/>
        </w:rPr>
        <w:t xml:space="preserve"> 201</w:t>
      </w:r>
      <w:r w:rsidR="00926CE0" w:rsidRPr="00090A91">
        <w:rPr>
          <w:rFonts w:ascii="Arial" w:hAnsi="Arial" w:cs="Arial"/>
          <w:color w:val="0070C0"/>
          <w:lang w:bidi="ar-EG"/>
        </w:rPr>
        <w:t>9</w:t>
      </w:r>
      <w:r w:rsidRPr="00090A91">
        <w:rPr>
          <w:rFonts w:ascii="Arial" w:hAnsi="Arial" w:cs="Arial"/>
          <w:color w:val="0070C0"/>
          <w:lang w:bidi="ar-EG"/>
        </w:rPr>
        <w:t>)</w:t>
      </w:r>
    </w:p>
    <w:p w:rsidR="008F2946" w:rsidRPr="00090A91" w:rsidRDefault="008F2946" w:rsidP="008F2946">
      <w:pPr>
        <w:jc w:val="center"/>
        <w:rPr>
          <w:rFonts w:ascii="Arial" w:hAnsi="Arial" w:cs="Arial"/>
          <w:color w:val="0070C0"/>
          <w:lang w:bidi="ar-EG"/>
        </w:rPr>
      </w:pPr>
    </w:p>
    <w:p w:rsidR="005E30EE" w:rsidRPr="00090A91" w:rsidRDefault="005E30EE" w:rsidP="005E30EE">
      <w:pPr>
        <w:jc w:val="center"/>
        <w:rPr>
          <w:rFonts w:cstheme="minorHAnsi"/>
          <w:color w:val="0070C0"/>
          <w:sz w:val="24"/>
          <w:szCs w:val="24"/>
          <w:lang w:bidi="ar-EG"/>
        </w:rPr>
      </w:pPr>
    </w:p>
    <w:p w:rsidR="005E30EE" w:rsidRPr="00090A91" w:rsidRDefault="005E30EE" w:rsidP="005E30EE">
      <w:pPr>
        <w:jc w:val="center"/>
        <w:rPr>
          <w:rFonts w:cstheme="minorHAnsi"/>
          <w:color w:val="0070C0"/>
          <w:sz w:val="24"/>
          <w:szCs w:val="24"/>
          <w:lang w:bidi="ar-EG"/>
        </w:rPr>
      </w:pPr>
    </w:p>
    <w:p w:rsidR="005E30EE" w:rsidRPr="00090A91" w:rsidRDefault="005E30EE" w:rsidP="005E30EE">
      <w:pPr>
        <w:jc w:val="center"/>
        <w:rPr>
          <w:rFonts w:cstheme="minorHAnsi"/>
          <w:color w:val="0070C0"/>
          <w:sz w:val="24"/>
          <w:szCs w:val="24"/>
          <w:lang w:bidi="ar-EG"/>
        </w:rPr>
      </w:pPr>
    </w:p>
    <w:p w:rsidR="005E30EE" w:rsidRPr="00090A91" w:rsidRDefault="005E30EE" w:rsidP="005E30EE">
      <w:pPr>
        <w:jc w:val="center"/>
        <w:rPr>
          <w:rFonts w:cstheme="minorHAnsi"/>
          <w:color w:val="0070C0"/>
          <w:sz w:val="24"/>
          <w:szCs w:val="24"/>
        </w:rPr>
      </w:pPr>
    </w:p>
    <w:p w:rsidR="005E30EE" w:rsidRPr="00090A91" w:rsidRDefault="005E30EE" w:rsidP="005E30EE">
      <w:pPr>
        <w:rPr>
          <w:rFonts w:cstheme="minorHAnsi"/>
          <w:color w:val="0070C0"/>
          <w:sz w:val="24"/>
          <w:szCs w:val="24"/>
          <w:lang w:bidi="ar-EG"/>
        </w:rPr>
      </w:pPr>
    </w:p>
    <w:p w:rsidR="005E30EE" w:rsidRPr="00090A91" w:rsidRDefault="005E30EE" w:rsidP="00263D6F">
      <w:pPr>
        <w:rPr>
          <w:rFonts w:ascii="Arial" w:hAnsi="Arial"/>
          <w:b/>
          <w:bCs/>
          <w:color w:val="0070C0"/>
          <w:lang w:bidi="ar-EG"/>
        </w:rPr>
      </w:pPr>
      <w:r w:rsidRPr="00090A91">
        <w:rPr>
          <w:rFonts w:ascii="Arial" w:hAnsi="Arial"/>
          <w:b/>
          <w:bCs/>
          <w:color w:val="0070C0"/>
          <w:lang w:bidi="ar-EG"/>
        </w:rPr>
        <w:lastRenderedPageBreak/>
        <w:t>Background</w:t>
      </w:r>
    </w:p>
    <w:p w:rsidR="006D2C8A" w:rsidRPr="00090A91" w:rsidRDefault="003E33E3" w:rsidP="00C71664">
      <w:pPr>
        <w:tabs>
          <w:tab w:val="left" w:pos="990"/>
        </w:tabs>
        <w:spacing w:before="120" w:after="120" w:line="300" w:lineRule="exact"/>
        <w:jc w:val="both"/>
        <w:rPr>
          <w:rFonts w:ascii="Arial" w:hAnsi="Arial" w:cs="Arial"/>
          <w:color w:val="0070C0"/>
          <w:sz w:val="21"/>
          <w:szCs w:val="21"/>
        </w:rPr>
      </w:pPr>
      <w:bookmarkStart w:id="0" w:name="_Hlk517699885"/>
      <w:r w:rsidRPr="00090A91">
        <w:rPr>
          <w:rFonts w:ascii="Arial" w:hAnsi="Arial" w:cs="Arial"/>
          <w:color w:val="0070C0"/>
          <w:sz w:val="21"/>
          <w:szCs w:val="21"/>
        </w:rPr>
        <w:t xml:space="preserve">Egyptian economic growth has improved in recent years and shows more potential for better performance within the national </w:t>
      </w:r>
      <w:proofErr w:type="spellStart"/>
      <w:r w:rsidRPr="00090A91">
        <w:rPr>
          <w:rFonts w:ascii="Arial" w:hAnsi="Arial" w:cs="Arial"/>
          <w:color w:val="0070C0"/>
          <w:sz w:val="21"/>
          <w:szCs w:val="21"/>
        </w:rPr>
        <w:t>programme</w:t>
      </w:r>
      <w:proofErr w:type="spellEnd"/>
      <w:r w:rsidRPr="00090A91">
        <w:rPr>
          <w:rFonts w:ascii="Arial" w:hAnsi="Arial" w:cs="Arial"/>
          <w:color w:val="0070C0"/>
          <w:sz w:val="21"/>
          <w:szCs w:val="21"/>
        </w:rPr>
        <w:t xml:space="preserve"> of reform and modernization.</w:t>
      </w:r>
      <w:r w:rsidR="008C3006" w:rsidRPr="00090A91">
        <w:rPr>
          <w:rFonts w:ascii="Arial" w:hAnsi="Arial" w:cs="Arial"/>
          <w:color w:val="0070C0"/>
          <w:sz w:val="21"/>
          <w:szCs w:val="21"/>
        </w:rPr>
        <w:t xml:space="preserve"> </w:t>
      </w:r>
      <w:r w:rsidR="006D2C8A" w:rsidRPr="00090A91">
        <w:rPr>
          <w:rFonts w:ascii="Arial" w:hAnsi="Arial" w:cs="Arial"/>
          <w:color w:val="0070C0"/>
          <w:sz w:val="21"/>
          <w:szCs w:val="21"/>
        </w:rPr>
        <w:t>According to the Global Competitiveness Index of 2018, Egypt is still required to make substantial efforts to improve competitiveness to sustain the growth toward achievement of Sustainable Development Goals</w:t>
      </w:r>
      <w:r w:rsidR="000964D5" w:rsidRPr="00090A91">
        <w:rPr>
          <w:rFonts w:ascii="Arial" w:hAnsi="Arial" w:cs="Arial"/>
          <w:color w:val="0070C0"/>
          <w:sz w:val="21"/>
          <w:szCs w:val="21"/>
        </w:rPr>
        <w:t xml:space="preserve"> in coming years</w:t>
      </w:r>
      <w:r w:rsidR="006D2C8A" w:rsidRPr="00090A91">
        <w:rPr>
          <w:rFonts w:ascii="Arial" w:hAnsi="Arial" w:cs="Arial"/>
          <w:color w:val="0070C0"/>
          <w:sz w:val="21"/>
          <w:szCs w:val="21"/>
        </w:rPr>
        <w:t>.</w:t>
      </w:r>
    </w:p>
    <w:p w:rsidR="000964D5" w:rsidRPr="00090A91" w:rsidRDefault="000964D5" w:rsidP="00C71664">
      <w:pPr>
        <w:tabs>
          <w:tab w:val="left" w:pos="990"/>
        </w:tabs>
        <w:spacing w:before="120" w:after="120" w:line="300" w:lineRule="exact"/>
        <w:jc w:val="both"/>
        <w:rPr>
          <w:rFonts w:ascii="Arial" w:hAnsi="Arial" w:cs="Arial"/>
          <w:color w:val="0070C0"/>
          <w:sz w:val="21"/>
          <w:szCs w:val="21"/>
        </w:rPr>
      </w:pPr>
      <w:r w:rsidRPr="00090A91">
        <w:rPr>
          <w:noProof/>
        </w:rPr>
        <w:drawing>
          <wp:anchor distT="0" distB="0" distL="114300" distR="114300" simplePos="0" relativeHeight="251658240" behindDoc="0" locked="0" layoutInCell="1" allowOverlap="1" wp14:anchorId="0E1C621D">
            <wp:simplePos x="0" y="0"/>
            <wp:positionH relativeFrom="column">
              <wp:posOffset>5715</wp:posOffset>
            </wp:positionH>
            <wp:positionV relativeFrom="paragraph">
              <wp:posOffset>40640</wp:posOffset>
            </wp:positionV>
            <wp:extent cx="2999740" cy="2057400"/>
            <wp:effectExtent l="38100" t="38100" r="29210" b="3810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999740" cy="2057400"/>
                    </a:xfrm>
                    <a:prstGeom prst="rect">
                      <a:avLst/>
                    </a:prstGeom>
                    <a:ln w="28575">
                      <a:solidFill>
                        <a:schemeClr val="tx1"/>
                      </a:solidFill>
                    </a:ln>
                  </pic:spPr>
                </pic:pic>
              </a:graphicData>
            </a:graphic>
            <wp14:sizeRelH relativeFrom="page">
              <wp14:pctWidth>0</wp14:pctWidth>
            </wp14:sizeRelH>
            <wp14:sizeRelV relativeFrom="page">
              <wp14:pctHeight>0</wp14:pctHeight>
            </wp14:sizeRelV>
          </wp:anchor>
        </w:drawing>
      </w:r>
      <w:r w:rsidR="00C71664" w:rsidRPr="00090A91">
        <w:rPr>
          <w:rFonts w:ascii="Arial" w:hAnsi="Arial" w:cs="Arial"/>
          <w:color w:val="0070C0"/>
          <w:sz w:val="21"/>
          <w:szCs w:val="21"/>
        </w:rPr>
        <w:t xml:space="preserve">The Global Competitive Report of 2018 also specifies a strong correlation between competitiveness and income level of all countries. </w:t>
      </w:r>
      <w:proofErr w:type="gramStart"/>
      <w:r w:rsidR="00C71664" w:rsidRPr="00090A91">
        <w:rPr>
          <w:rFonts w:ascii="Arial" w:hAnsi="Arial" w:cs="Arial"/>
          <w:color w:val="0070C0"/>
          <w:sz w:val="21"/>
          <w:szCs w:val="21"/>
        </w:rPr>
        <w:t>In order to</w:t>
      </w:r>
      <w:proofErr w:type="gramEnd"/>
      <w:r w:rsidR="00C71664" w:rsidRPr="00090A91">
        <w:rPr>
          <w:rFonts w:ascii="Arial" w:hAnsi="Arial" w:cs="Arial"/>
          <w:color w:val="0070C0"/>
          <w:sz w:val="21"/>
          <w:szCs w:val="21"/>
        </w:rPr>
        <w:t xml:space="preserve"> achieve better livelihood and more business opportunities in the country, the business environment needs to be made more viable. Adoption of a National Single Window by a country would promise substantial improvement in providing better public services, more efficiency and convenience for consumers, businesses and industries.</w:t>
      </w:r>
    </w:p>
    <w:p w:rsidR="002B3819" w:rsidRPr="00090A91" w:rsidRDefault="002B3819" w:rsidP="00C71664">
      <w:pPr>
        <w:tabs>
          <w:tab w:val="left" w:pos="990"/>
        </w:tabs>
        <w:spacing w:before="120" w:after="120" w:line="300" w:lineRule="exact"/>
        <w:jc w:val="both"/>
        <w:rPr>
          <w:rFonts w:ascii="Arial" w:hAnsi="Arial" w:cs="Arial"/>
          <w:color w:val="0070C0"/>
          <w:sz w:val="21"/>
          <w:szCs w:val="21"/>
        </w:rPr>
      </w:pPr>
    </w:p>
    <w:p w:rsidR="00127054" w:rsidRDefault="00127054" w:rsidP="00C71664">
      <w:pPr>
        <w:tabs>
          <w:tab w:val="left" w:pos="990"/>
        </w:tabs>
        <w:spacing w:before="120" w:after="120" w:line="300" w:lineRule="exact"/>
        <w:jc w:val="both"/>
        <w:rPr>
          <w:rFonts w:ascii="Arial" w:hAnsi="Arial" w:cs="Arial"/>
          <w:color w:val="0070C0"/>
          <w:sz w:val="21"/>
          <w:szCs w:val="21"/>
        </w:rPr>
      </w:pPr>
      <w:proofErr w:type="gramStart"/>
      <w:r>
        <w:rPr>
          <w:rFonts w:ascii="Arial" w:hAnsi="Arial" w:cs="Arial"/>
          <w:color w:val="0070C0"/>
          <w:sz w:val="21"/>
          <w:szCs w:val="21"/>
        </w:rPr>
        <w:t>In order to</w:t>
      </w:r>
      <w:proofErr w:type="gramEnd"/>
      <w:r>
        <w:rPr>
          <w:rFonts w:ascii="Arial" w:hAnsi="Arial" w:cs="Arial"/>
          <w:color w:val="0070C0"/>
          <w:sz w:val="21"/>
          <w:szCs w:val="21"/>
        </w:rPr>
        <w:t xml:space="preserve"> improve national competitiveness, more efforts are required by the regulatory agencies as well as by the private sector in various capacities. For that, optimizing regulatory controls with less costs and more convenience to the public and end-users is essential. Furthermore, leveraging on advantages of information and communication technology </w:t>
      </w:r>
      <w:proofErr w:type="gramStart"/>
      <w:r>
        <w:rPr>
          <w:rFonts w:ascii="Arial" w:hAnsi="Arial" w:cs="Arial"/>
          <w:color w:val="0070C0"/>
          <w:sz w:val="21"/>
          <w:szCs w:val="21"/>
        </w:rPr>
        <w:t>can be seen as</w:t>
      </w:r>
      <w:proofErr w:type="gramEnd"/>
      <w:r>
        <w:rPr>
          <w:rFonts w:ascii="Arial" w:hAnsi="Arial" w:cs="Arial"/>
          <w:color w:val="0070C0"/>
          <w:sz w:val="21"/>
          <w:szCs w:val="21"/>
        </w:rPr>
        <w:t xml:space="preserve"> a new asset to policy instruments that the Government of Egypt has in operationalizing modernized control. A National Single Window, essentially is a platform, designed for this purpose.</w:t>
      </w:r>
    </w:p>
    <w:p w:rsidR="002B3819" w:rsidRPr="00090A91" w:rsidRDefault="002B3819" w:rsidP="00C71664">
      <w:pPr>
        <w:tabs>
          <w:tab w:val="left" w:pos="990"/>
        </w:tabs>
        <w:spacing w:before="120" w:after="120" w:line="300" w:lineRule="exact"/>
        <w:jc w:val="both"/>
        <w:rPr>
          <w:rFonts w:ascii="Arial" w:hAnsi="Arial" w:cs="Arial"/>
          <w:color w:val="0070C0"/>
          <w:sz w:val="21"/>
          <w:szCs w:val="21"/>
        </w:rPr>
      </w:pPr>
      <w:r w:rsidRPr="00090A91">
        <w:rPr>
          <w:rFonts w:ascii="Arial" w:hAnsi="Arial" w:cs="Arial"/>
          <w:color w:val="0070C0"/>
          <w:sz w:val="21"/>
          <w:szCs w:val="21"/>
        </w:rPr>
        <w:t xml:space="preserve">The project of Strengthening Arab Economic Integration for Sustainable Development (AEISD), by UNDP, aims at provision of support to Arab countries to improve the regional connectivity and trade efficiency as continuation to positive effects of the earlier </w:t>
      </w:r>
      <w:proofErr w:type="spellStart"/>
      <w:r w:rsidRPr="00090A91">
        <w:rPr>
          <w:rFonts w:ascii="Arial" w:hAnsi="Arial" w:cs="Arial"/>
          <w:color w:val="0070C0"/>
          <w:sz w:val="21"/>
          <w:szCs w:val="21"/>
        </w:rPr>
        <w:t>programme</w:t>
      </w:r>
      <w:proofErr w:type="spellEnd"/>
      <w:r w:rsidRPr="00090A91">
        <w:rPr>
          <w:rFonts w:ascii="Arial" w:hAnsi="Arial" w:cs="Arial"/>
          <w:color w:val="0070C0"/>
          <w:sz w:val="21"/>
          <w:szCs w:val="21"/>
        </w:rPr>
        <w:t xml:space="preserve"> of assistance in 2014 – 2016. UNDP starts its implementation with Egypt Customs Authority (ECA), Ministry of Finance in late December 2018</w:t>
      </w:r>
      <w:r w:rsidR="00D77BA6" w:rsidRPr="00090A91">
        <w:rPr>
          <w:rFonts w:ascii="Arial" w:hAnsi="Arial" w:cs="Arial"/>
          <w:color w:val="0070C0"/>
          <w:sz w:val="21"/>
          <w:szCs w:val="21"/>
        </w:rPr>
        <w:t xml:space="preserve"> after having completed the administrative process with concerned Egyptian authorities. A new Work </w:t>
      </w:r>
      <w:proofErr w:type="spellStart"/>
      <w:r w:rsidR="00D77BA6" w:rsidRPr="00090A91">
        <w:rPr>
          <w:rFonts w:ascii="Arial" w:hAnsi="Arial" w:cs="Arial"/>
          <w:color w:val="0070C0"/>
          <w:sz w:val="21"/>
          <w:szCs w:val="21"/>
        </w:rPr>
        <w:t>Programme</w:t>
      </w:r>
      <w:proofErr w:type="spellEnd"/>
      <w:r w:rsidR="00D77BA6" w:rsidRPr="00090A91">
        <w:rPr>
          <w:rFonts w:ascii="Arial" w:hAnsi="Arial" w:cs="Arial"/>
          <w:color w:val="0070C0"/>
          <w:sz w:val="21"/>
          <w:szCs w:val="21"/>
        </w:rPr>
        <w:t xml:space="preserve"> was designed and endorsed by the Commissioner of ECA. One of main components of the </w:t>
      </w:r>
      <w:proofErr w:type="spellStart"/>
      <w:r w:rsidR="00D77BA6" w:rsidRPr="00090A91">
        <w:rPr>
          <w:rFonts w:ascii="Arial" w:hAnsi="Arial" w:cs="Arial"/>
          <w:color w:val="0070C0"/>
          <w:sz w:val="21"/>
          <w:szCs w:val="21"/>
        </w:rPr>
        <w:t>programme</w:t>
      </w:r>
      <w:proofErr w:type="spellEnd"/>
      <w:r w:rsidR="00D77BA6" w:rsidRPr="00090A91">
        <w:rPr>
          <w:rFonts w:ascii="Arial" w:hAnsi="Arial" w:cs="Arial"/>
          <w:color w:val="0070C0"/>
          <w:sz w:val="21"/>
          <w:szCs w:val="21"/>
        </w:rPr>
        <w:t xml:space="preserve"> relates to the design and development of Egypt National Single Window (ENSW).</w:t>
      </w:r>
    </w:p>
    <w:p w:rsidR="00D77BA6" w:rsidRPr="00090A91" w:rsidRDefault="00D77BA6" w:rsidP="00C71664">
      <w:pPr>
        <w:tabs>
          <w:tab w:val="left" w:pos="990"/>
        </w:tabs>
        <w:spacing w:before="120" w:after="120" w:line="300" w:lineRule="exact"/>
        <w:jc w:val="both"/>
        <w:rPr>
          <w:rFonts w:ascii="Arial" w:hAnsi="Arial" w:cs="Arial"/>
          <w:color w:val="0070C0"/>
          <w:sz w:val="21"/>
          <w:szCs w:val="21"/>
        </w:rPr>
      </w:pPr>
      <w:r w:rsidRPr="00090A91">
        <w:rPr>
          <w:rFonts w:ascii="Arial" w:hAnsi="Arial" w:cs="Arial"/>
          <w:color w:val="0070C0"/>
          <w:sz w:val="21"/>
          <w:szCs w:val="21"/>
        </w:rPr>
        <w:t xml:space="preserve">The ECA informed the new decision by the Government of Egypt of assigning ECA as the lead agency in the ENSW. In 2015, UNDP assisted Egypt with the preparation of the ENSW Roadmap and the recommended framework of institutional arrangements for ENSW was positively considered by </w:t>
      </w:r>
      <w:proofErr w:type="spellStart"/>
      <w:r w:rsidRPr="00090A91">
        <w:rPr>
          <w:rFonts w:ascii="Arial" w:hAnsi="Arial" w:cs="Arial"/>
          <w:color w:val="0070C0"/>
          <w:sz w:val="21"/>
          <w:szCs w:val="21"/>
        </w:rPr>
        <w:t>EgyTrade</w:t>
      </w:r>
      <w:proofErr w:type="spellEnd"/>
      <w:r w:rsidRPr="00090A91">
        <w:rPr>
          <w:rFonts w:ascii="Arial" w:hAnsi="Arial" w:cs="Arial"/>
          <w:color w:val="0070C0"/>
          <w:sz w:val="21"/>
          <w:szCs w:val="21"/>
        </w:rPr>
        <w:t>. Support to the latter continued until Quarter IV of 2016.</w:t>
      </w:r>
    </w:p>
    <w:p w:rsidR="00D2033C" w:rsidRPr="00090A91" w:rsidRDefault="00507061" w:rsidP="00C71664">
      <w:pPr>
        <w:tabs>
          <w:tab w:val="left" w:pos="990"/>
        </w:tabs>
        <w:spacing w:before="120" w:after="120" w:line="300" w:lineRule="exact"/>
        <w:jc w:val="both"/>
        <w:rPr>
          <w:rFonts w:ascii="Arial" w:hAnsi="Arial" w:cs="Arial"/>
          <w:color w:val="0070C0"/>
          <w:sz w:val="21"/>
          <w:szCs w:val="21"/>
        </w:rPr>
      </w:pPr>
      <w:r w:rsidRPr="00090A91">
        <w:rPr>
          <w:rFonts w:ascii="Arial" w:hAnsi="Arial" w:cs="Arial"/>
          <w:color w:val="0070C0"/>
          <w:sz w:val="21"/>
          <w:szCs w:val="21"/>
        </w:rPr>
        <w:t>Having</w:t>
      </w:r>
      <w:r w:rsidR="00D77BA6" w:rsidRPr="00090A91">
        <w:rPr>
          <w:rFonts w:ascii="Arial" w:hAnsi="Arial" w:cs="Arial"/>
          <w:color w:val="0070C0"/>
          <w:sz w:val="21"/>
          <w:szCs w:val="21"/>
        </w:rPr>
        <w:t xml:space="preserve"> </w:t>
      </w:r>
      <w:r w:rsidR="00D2033C" w:rsidRPr="00090A91">
        <w:rPr>
          <w:rFonts w:ascii="Arial" w:hAnsi="Arial" w:cs="Arial"/>
          <w:color w:val="0070C0"/>
          <w:sz w:val="21"/>
          <w:szCs w:val="21"/>
        </w:rPr>
        <w:t>a</w:t>
      </w:r>
      <w:r w:rsidR="00D77BA6" w:rsidRPr="00090A91">
        <w:rPr>
          <w:rFonts w:ascii="Arial" w:hAnsi="Arial" w:cs="Arial"/>
          <w:color w:val="0070C0"/>
          <w:sz w:val="21"/>
          <w:szCs w:val="21"/>
        </w:rPr>
        <w:t xml:space="preserve"> NSW</w:t>
      </w:r>
      <w:r w:rsidRPr="00090A91">
        <w:rPr>
          <w:rFonts w:ascii="Arial" w:hAnsi="Arial" w:cs="Arial"/>
          <w:color w:val="0070C0"/>
          <w:sz w:val="21"/>
          <w:szCs w:val="21"/>
        </w:rPr>
        <w:t xml:space="preserve"> operational aims </w:t>
      </w:r>
      <w:r w:rsidR="00D2033C" w:rsidRPr="00090A91">
        <w:rPr>
          <w:rFonts w:ascii="Arial" w:hAnsi="Arial" w:cs="Arial"/>
          <w:color w:val="0070C0"/>
          <w:sz w:val="21"/>
          <w:szCs w:val="21"/>
        </w:rPr>
        <w:t xml:space="preserve">to </w:t>
      </w:r>
      <w:r w:rsidR="00D77BA6" w:rsidRPr="00090A91">
        <w:rPr>
          <w:rFonts w:ascii="Arial" w:hAnsi="Arial" w:cs="Arial"/>
          <w:color w:val="0070C0"/>
          <w:sz w:val="21"/>
          <w:szCs w:val="21"/>
        </w:rPr>
        <w:t>facilitat</w:t>
      </w:r>
      <w:r w:rsidR="00D2033C" w:rsidRPr="00090A91">
        <w:rPr>
          <w:rFonts w:ascii="Arial" w:hAnsi="Arial" w:cs="Arial"/>
          <w:color w:val="0070C0"/>
          <w:sz w:val="21"/>
          <w:szCs w:val="21"/>
        </w:rPr>
        <w:t>e secured international trade</w:t>
      </w:r>
      <w:r w:rsidRPr="00090A91">
        <w:rPr>
          <w:rFonts w:ascii="Arial" w:hAnsi="Arial" w:cs="Arial"/>
          <w:color w:val="0070C0"/>
          <w:sz w:val="21"/>
          <w:szCs w:val="21"/>
        </w:rPr>
        <w:t>, improve regulatory control</w:t>
      </w:r>
      <w:r w:rsidR="00D2033C" w:rsidRPr="00090A91">
        <w:rPr>
          <w:rFonts w:ascii="Arial" w:hAnsi="Arial" w:cs="Arial"/>
          <w:color w:val="0070C0"/>
          <w:sz w:val="21"/>
          <w:szCs w:val="21"/>
        </w:rPr>
        <w:t xml:space="preserve"> and to collect due revenues under the national laws. These </w:t>
      </w:r>
      <w:proofErr w:type="gramStart"/>
      <w:r w:rsidR="00D2033C" w:rsidRPr="00090A91">
        <w:rPr>
          <w:rFonts w:ascii="Arial" w:hAnsi="Arial" w:cs="Arial"/>
          <w:color w:val="0070C0"/>
          <w:sz w:val="21"/>
          <w:szCs w:val="21"/>
        </w:rPr>
        <w:t>can be seen as</w:t>
      </w:r>
      <w:proofErr w:type="gramEnd"/>
      <w:r w:rsidR="00D2033C" w:rsidRPr="00090A91">
        <w:rPr>
          <w:rFonts w:ascii="Arial" w:hAnsi="Arial" w:cs="Arial"/>
          <w:color w:val="0070C0"/>
          <w:sz w:val="21"/>
          <w:szCs w:val="21"/>
        </w:rPr>
        <w:t xml:space="preserve"> the basis in putting the SAFE framework into </w:t>
      </w:r>
      <w:r w:rsidR="009835D5" w:rsidRPr="00090A91">
        <w:rPr>
          <w:rFonts w:ascii="Arial" w:hAnsi="Arial" w:cs="Arial"/>
          <w:color w:val="0070C0"/>
          <w:sz w:val="21"/>
          <w:szCs w:val="21"/>
        </w:rPr>
        <w:t>action with participation of regulatory authorities and the private sector</w:t>
      </w:r>
      <w:r w:rsidR="00D77BA6" w:rsidRPr="00090A91">
        <w:rPr>
          <w:rFonts w:ascii="Arial" w:hAnsi="Arial" w:cs="Arial"/>
          <w:color w:val="0070C0"/>
          <w:sz w:val="21"/>
          <w:szCs w:val="21"/>
        </w:rPr>
        <w:t>. I</w:t>
      </w:r>
      <w:r w:rsidR="00D2033C" w:rsidRPr="00090A91">
        <w:rPr>
          <w:rFonts w:ascii="Arial" w:hAnsi="Arial" w:cs="Arial"/>
          <w:color w:val="0070C0"/>
          <w:sz w:val="21"/>
          <w:szCs w:val="21"/>
        </w:rPr>
        <w:t xml:space="preserve">ndeed, </w:t>
      </w:r>
      <w:r w:rsidR="00D77BA6" w:rsidRPr="00090A91">
        <w:rPr>
          <w:rFonts w:ascii="Arial" w:hAnsi="Arial" w:cs="Arial"/>
          <w:color w:val="0070C0"/>
          <w:sz w:val="21"/>
          <w:szCs w:val="21"/>
        </w:rPr>
        <w:t xml:space="preserve">the NSW </w:t>
      </w:r>
      <w:r w:rsidR="00D2033C" w:rsidRPr="00090A91">
        <w:rPr>
          <w:rFonts w:ascii="Arial" w:hAnsi="Arial" w:cs="Arial"/>
          <w:color w:val="0070C0"/>
          <w:sz w:val="21"/>
          <w:szCs w:val="21"/>
        </w:rPr>
        <w:t xml:space="preserve">constitutes the digitalized platform of data and information as well as its processing for </w:t>
      </w:r>
      <w:r w:rsidR="00D2033C" w:rsidRPr="00090A91">
        <w:rPr>
          <w:rFonts w:ascii="Arial" w:hAnsi="Arial" w:cs="Arial"/>
          <w:color w:val="0070C0"/>
          <w:sz w:val="21"/>
          <w:szCs w:val="21"/>
        </w:rPr>
        <w:lastRenderedPageBreak/>
        <w:t xml:space="preserve">expeditious release of shipments through international entries to the customs jurisdictions. For certain, it would assist better management by the Government with more accurate and timely data in real time. </w:t>
      </w:r>
      <w:r w:rsidR="00D77BA6" w:rsidRPr="00090A91">
        <w:rPr>
          <w:rFonts w:ascii="Arial" w:hAnsi="Arial" w:cs="Arial"/>
          <w:color w:val="0070C0"/>
          <w:sz w:val="21"/>
          <w:szCs w:val="21"/>
        </w:rPr>
        <w:t xml:space="preserve">It is well proven that </w:t>
      </w:r>
      <w:r w:rsidR="00D2033C" w:rsidRPr="00090A91">
        <w:rPr>
          <w:rFonts w:ascii="Arial" w:hAnsi="Arial" w:cs="Arial"/>
          <w:color w:val="0070C0"/>
          <w:sz w:val="21"/>
          <w:szCs w:val="21"/>
        </w:rPr>
        <w:t xml:space="preserve">adoption of </w:t>
      </w:r>
      <w:r w:rsidR="00D77BA6" w:rsidRPr="00090A91">
        <w:rPr>
          <w:rFonts w:ascii="Arial" w:hAnsi="Arial" w:cs="Arial"/>
          <w:color w:val="0070C0"/>
          <w:sz w:val="21"/>
          <w:szCs w:val="21"/>
        </w:rPr>
        <w:t xml:space="preserve">a single submission, </w:t>
      </w:r>
      <w:r w:rsidR="00D2033C" w:rsidRPr="00090A91">
        <w:rPr>
          <w:rFonts w:ascii="Arial" w:hAnsi="Arial" w:cs="Arial"/>
          <w:color w:val="0070C0"/>
          <w:sz w:val="21"/>
          <w:szCs w:val="21"/>
        </w:rPr>
        <w:t xml:space="preserve">carrying out coordinated information, </w:t>
      </w:r>
      <w:r w:rsidR="00D77BA6" w:rsidRPr="00090A91">
        <w:rPr>
          <w:rFonts w:ascii="Arial" w:hAnsi="Arial" w:cs="Arial"/>
          <w:color w:val="0070C0"/>
          <w:sz w:val="21"/>
          <w:szCs w:val="21"/>
        </w:rPr>
        <w:t xml:space="preserve">and </w:t>
      </w:r>
      <w:r w:rsidR="00D2033C" w:rsidRPr="00090A91">
        <w:rPr>
          <w:rFonts w:ascii="Arial" w:hAnsi="Arial" w:cs="Arial"/>
          <w:color w:val="0070C0"/>
          <w:sz w:val="21"/>
          <w:szCs w:val="21"/>
        </w:rPr>
        <w:t>o</w:t>
      </w:r>
      <w:r w:rsidR="00D77BA6" w:rsidRPr="00090A91">
        <w:rPr>
          <w:rFonts w:ascii="Arial" w:hAnsi="Arial" w:cs="Arial"/>
          <w:color w:val="0070C0"/>
          <w:sz w:val="21"/>
          <w:szCs w:val="21"/>
        </w:rPr>
        <w:t xml:space="preserve"> unified application of relevant laws and regulation</w:t>
      </w:r>
      <w:r w:rsidR="00D2033C" w:rsidRPr="00090A91">
        <w:rPr>
          <w:rFonts w:ascii="Arial" w:hAnsi="Arial" w:cs="Arial"/>
          <w:color w:val="0070C0"/>
          <w:sz w:val="21"/>
          <w:szCs w:val="21"/>
        </w:rPr>
        <w:t>s,</w:t>
      </w:r>
      <w:r w:rsidR="00D77BA6" w:rsidRPr="00090A91">
        <w:rPr>
          <w:rFonts w:ascii="Arial" w:hAnsi="Arial" w:cs="Arial"/>
          <w:color w:val="0070C0"/>
          <w:sz w:val="21"/>
          <w:szCs w:val="21"/>
        </w:rPr>
        <w:t xml:space="preserve"> create a suitable environment for investment, business, trade and industry</w:t>
      </w:r>
      <w:r w:rsidR="00D2033C" w:rsidRPr="00090A91">
        <w:rPr>
          <w:rFonts w:ascii="Arial" w:hAnsi="Arial" w:cs="Arial"/>
          <w:color w:val="0070C0"/>
          <w:sz w:val="21"/>
          <w:szCs w:val="21"/>
        </w:rPr>
        <w:t>.</w:t>
      </w:r>
    </w:p>
    <w:p w:rsidR="00D77BA6" w:rsidRPr="00090A91" w:rsidRDefault="00D77BA6" w:rsidP="00C71664">
      <w:pPr>
        <w:tabs>
          <w:tab w:val="left" w:pos="990"/>
        </w:tabs>
        <w:spacing w:before="120" w:after="120" w:line="300" w:lineRule="exact"/>
        <w:jc w:val="both"/>
        <w:rPr>
          <w:rFonts w:ascii="Arial" w:hAnsi="Arial" w:cs="Arial"/>
          <w:color w:val="0070C0"/>
          <w:sz w:val="21"/>
          <w:szCs w:val="21"/>
        </w:rPr>
      </w:pPr>
    </w:p>
    <w:p w:rsidR="00D77BA6" w:rsidRPr="00090A91" w:rsidRDefault="00D77BA6" w:rsidP="00D77BA6">
      <w:pPr>
        <w:pStyle w:val="ListParagraph"/>
        <w:numPr>
          <w:ilvl w:val="0"/>
          <w:numId w:val="2"/>
        </w:numPr>
        <w:tabs>
          <w:tab w:val="left" w:pos="567"/>
        </w:tabs>
        <w:spacing w:before="120" w:after="120" w:line="300" w:lineRule="exact"/>
        <w:ind w:left="0" w:firstLine="0"/>
        <w:jc w:val="both"/>
        <w:rPr>
          <w:rFonts w:ascii="Arial" w:hAnsi="Arial"/>
          <w:color w:val="0070C0"/>
          <w:sz w:val="21"/>
          <w:szCs w:val="21"/>
          <w:lang w:bidi="ar-EG"/>
        </w:rPr>
      </w:pPr>
      <w:r w:rsidRPr="00090A91">
        <w:rPr>
          <w:rFonts w:ascii="Arial" w:hAnsi="Arial"/>
          <w:b/>
          <w:color w:val="0070C0"/>
          <w:sz w:val="21"/>
          <w:szCs w:val="21"/>
          <w:lang w:bidi="ar-EG"/>
        </w:rPr>
        <w:t>Purpose of the Seminar</w:t>
      </w:r>
      <w:r w:rsidRPr="00090A91">
        <w:rPr>
          <w:rFonts w:ascii="Arial" w:hAnsi="Arial"/>
          <w:color w:val="0070C0"/>
          <w:sz w:val="21"/>
          <w:szCs w:val="21"/>
          <w:lang w:bidi="ar-EG"/>
        </w:rPr>
        <w:t xml:space="preserve"> </w:t>
      </w:r>
      <w:r w:rsidRPr="00090A91">
        <w:rPr>
          <w:rFonts w:ascii="Arial" w:hAnsi="Arial"/>
          <w:b/>
          <w:color w:val="0070C0"/>
          <w:sz w:val="21"/>
          <w:szCs w:val="21"/>
          <w:lang w:bidi="ar-EG"/>
        </w:rPr>
        <w:t>on ENSW</w:t>
      </w:r>
      <w:r w:rsidRPr="00090A91">
        <w:rPr>
          <w:rFonts w:ascii="Arial" w:hAnsi="Arial"/>
          <w:color w:val="0070C0"/>
          <w:sz w:val="21"/>
          <w:szCs w:val="21"/>
          <w:lang w:bidi="ar-EG"/>
        </w:rPr>
        <w:t xml:space="preserve"> </w:t>
      </w:r>
    </w:p>
    <w:p w:rsidR="00D77BA6" w:rsidRPr="00090A91" w:rsidRDefault="00D77BA6" w:rsidP="00D77BA6">
      <w:pPr>
        <w:tabs>
          <w:tab w:val="left" w:pos="990"/>
        </w:tabs>
        <w:spacing w:before="120" w:after="120" w:line="300" w:lineRule="exact"/>
        <w:jc w:val="both"/>
        <w:rPr>
          <w:rFonts w:ascii="Arial" w:hAnsi="Arial" w:cs="Arial"/>
          <w:color w:val="0070C0"/>
          <w:sz w:val="21"/>
          <w:szCs w:val="21"/>
        </w:rPr>
      </w:pPr>
      <w:r w:rsidRPr="00090A91">
        <w:rPr>
          <w:rFonts w:ascii="Arial" w:hAnsi="Arial" w:cs="Arial"/>
          <w:color w:val="0070C0"/>
          <w:sz w:val="21"/>
          <w:szCs w:val="21"/>
        </w:rPr>
        <w:t>The National Seminar on ENSW aims to equip the senior management of ECA with:</w:t>
      </w:r>
    </w:p>
    <w:p w:rsidR="00D77BA6" w:rsidRPr="00090A91" w:rsidRDefault="00D77BA6" w:rsidP="00D77BA6">
      <w:pPr>
        <w:pStyle w:val="ListParagraph"/>
        <w:numPr>
          <w:ilvl w:val="0"/>
          <w:numId w:val="9"/>
        </w:numPr>
        <w:tabs>
          <w:tab w:val="left" w:pos="990"/>
        </w:tabs>
        <w:spacing w:before="120" w:after="120" w:line="300" w:lineRule="exact"/>
        <w:contextualSpacing w:val="0"/>
        <w:jc w:val="both"/>
        <w:rPr>
          <w:rFonts w:ascii="Arial" w:hAnsi="Arial"/>
          <w:color w:val="0070C0"/>
          <w:sz w:val="21"/>
          <w:szCs w:val="21"/>
        </w:rPr>
      </w:pPr>
      <w:r w:rsidRPr="00090A91">
        <w:rPr>
          <w:rFonts w:ascii="Arial" w:hAnsi="Arial"/>
          <w:color w:val="0070C0"/>
          <w:sz w:val="21"/>
          <w:szCs w:val="21"/>
        </w:rPr>
        <w:t>The conceptual approach of a National Single Window and Egypt National Single Window.</w:t>
      </w:r>
    </w:p>
    <w:p w:rsidR="00D77BA6" w:rsidRPr="00090A91" w:rsidRDefault="00DE0378" w:rsidP="00D77BA6">
      <w:pPr>
        <w:pStyle w:val="ListParagraph"/>
        <w:numPr>
          <w:ilvl w:val="0"/>
          <w:numId w:val="9"/>
        </w:numPr>
        <w:tabs>
          <w:tab w:val="left" w:pos="990"/>
        </w:tabs>
        <w:spacing w:before="120" w:after="120" w:line="300" w:lineRule="exact"/>
        <w:contextualSpacing w:val="0"/>
        <w:jc w:val="both"/>
        <w:rPr>
          <w:rFonts w:ascii="Arial" w:hAnsi="Arial"/>
          <w:color w:val="0070C0"/>
          <w:sz w:val="21"/>
          <w:szCs w:val="21"/>
        </w:rPr>
      </w:pPr>
      <w:r w:rsidRPr="00090A91">
        <w:rPr>
          <w:rFonts w:ascii="Arial" w:hAnsi="Arial"/>
          <w:color w:val="0070C0"/>
          <w:sz w:val="21"/>
          <w:szCs w:val="21"/>
        </w:rPr>
        <w:t>Consultation on the thematic definition of ENSW.</w:t>
      </w:r>
    </w:p>
    <w:p w:rsidR="00DE0378" w:rsidRPr="00090A91" w:rsidRDefault="00DE0378" w:rsidP="00D77BA6">
      <w:pPr>
        <w:pStyle w:val="ListParagraph"/>
        <w:numPr>
          <w:ilvl w:val="0"/>
          <w:numId w:val="9"/>
        </w:numPr>
        <w:tabs>
          <w:tab w:val="left" w:pos="990"/>
        </w:tabs>
        <w:spacing w:before="120" w:after="120" w:line="300" w:lineRule="exact"/>
        <w:contextualSpacing w:val="0"/>
        <w:jc w:val="both"/>
        <w:rPr>
          <w:rFonts w:ascii="Arial" w:hAnsi="Arial"/>
          <w:color w:val="0070C0"/>
          <w:sz w:val="21"/>
          <w:szCs w:val="21"/>
        </w:rPr>
      </w:pPr>
      <w:r w:rsidRPr="00090A91">
        <w:rPr>
          <w:rFonts w:ascii="Arial" w:hAnsi="Arial"/>
          <w:color w:val="0070C0"/>
          <w:sz w:val="21"/>
          <w:szCs w:val="21"/>
        </w:rPr>
        <w:t xml:space="preserve"> ENSW and modernization of trade and customs procedures.</w:t>
      </w:r>
    </w:p>
    <w:p w:rsidR="00DE0378" w:rsidRPr="00090A91" w:rsidRDefault="00DE0378" w:rsidP="00D77BA6">
      <w:pPr>
        <w:pStyle w:val="ListParagraph"/>
        <w:numPr>
          <w:ilvl w:val="0"/>
          <w:numId w:val="9"/>
        </w:numPr>
        <w:tabs>
          <w:tab w:val="left" w:pos="990"/>
        </w:tabs>
        <w:spacing w:before="120" w:after="120" w:line="300" w:lineRule="exact"/>
        <w:contextualSpacing w:val="0"/>
        <w:jc w:val="both"/>
        <w:rPr>
          <w:rFonts w:ascii="Arial" w:hAnsi="Arial"/>
          <w:color w:val="0070C0"/>
          <w:sz w:val="21"/>
          <w:szCs w:val="21"/>
        </w:rPr>
      </w:pPr>
      <w:r w:rsidRPr="00090A91">
        <w:rPr>
          <w:rFonts w:ascii="Arial" w:hAnsi="Arial"/>
          <w:color w:val="0070C0"/>
          <w:sz w:val="21"/>
          <w:szCs w:val="21"/>
        </w:rPr>
        <w:t xml:space="preserve"> Working with operators of a National Single Window.</w:t>
      </w:r>
    </w:p>
    <w:p w:rsidR="00507061" w:rsidRPr="00090A91" w:rsidRDefault="00507061" w:rsidP="00D77BA6">
      <w:pPr>
        <w:pStyle w:val="ListParagraph"/>
        <w:numPr>
          <w:ilvl w:val="0"/>
          <w:numId w:val="9"/>
        </w:numPr>
        <w:tabs>
          <w:tab w:val="left" w:pos="990"/>
        </w:tabs>
        <w:spacing w:before="120" w:after="120" w:line="300" w:lineRule="exact"/>
        <w:contextualSpacing w:val="0"/>
        <w:jc w:val="both"/>
        <w:rPr>
          <w:rFonts w:ascii="Arial" w:hAnsi="Arial"/>
          <w:color w:val="0070C0"/>
          <w:sz w:val="21"/>
          <w:szCs w:val="21"/>
        </w:rPr>
      </w:pPr>
      <w:r w:rsidRPr="00090A91">
        <w:rPr>
          <w:rFonts w:ascii="Arial" w:hAnsi="Arial"/>
          <w:color w:val="0070C0"/>
          <w:sz w:val="21"/>
          <w:szCs w:val="21"/>
        </w:rPr>
        <w:t xml:space="preserve"> Key concept of the draft ENSW.</w:t>
      </w:r>
    </w:p>
    <w:p w:rsidR="00F45318" w:rsidRPr="00090A91" w:rsidRDefault="00DE0378" w:rsidP="00F45318">
      <w:pPr>
        <w:tabs>
          <w:tab w:val="left" w:pos="990"/>
        </w:tabs>
        <w:spacing w:before="120" w:after="120" w:line="300" w:lineRule="exact"/>
        <w:jc w:val="both"/>
        <w:rPr>
          <w:rFonts w:ascii="Arial" w:hAnsi="Arial"/>
          <w:color w:val="0070C0"/>
          <w:sz w:val="21"/>
          <w:szCs w:val="21"/>
        </w:rPr>
      </w:pPr>
      <w:r w:rsidRPr="00090A91">
        <w:rPr>
          <w:rFonts w:ascii="Arial" w:hAnsi="Arial"/>
          <w:color w:val="0070C0"/>
          <w:sz w:val="21"/>
          <w:szCs w:val="21"/>
        </w:rPr>
        <w:t xml:space="preserve"> </w:t>
      </w:r>
      <w:r w:rsidR="00F45318" w:rsidRPr="00090A91">
        <w:rPr>
          <w:rFonts w:ascii="Arial" w:hAnsi="Arial"/>
          <w:color w:val="0070C0"/>
          <w:sz w:val="21"/>
          <w:szCs w:val="21"/>
        </w:rPr>
        <w:t>A National Single Window is a major reform and modernization assignment with participation from several governmental agencies. In recent years, more and more NSWs are being designed for not only public but also private sector while capitalizing on advantages and technological advances.</w:t>
      </w:r>
      <w:r w:rsidR="00507061" w:rsidRPr="00090A91">
        <w:rPr>
          <w:rFonts w:ascii="Arial" w:hAnsi="Arial"/>
          <w:color w:val="0070C0"/>
          <w:sz w:val="21"/>
          <w:szCs w:val="21"/>
        </w:rPr>
        <w:t xml:space="preserve"> Specifically, a successful NSW should capitalize on the partnership of </w:t>
      </w:r>
      <w:r w:rsidR="009835D5" w:rsidRPr="00090A91">
        <w:rPr>
          <w:rFonts w:ascii="Arial" w:hAnsi="Arial"/>
          <w:color w:val="0070C0"/>
          <w:sz w:val="21"/>
          <w:szCs w:val="21"/>
        </w:rPr>
        <w:t xml:space="preserve">various agencies and the collaboration with traders, port operators, </w:t>
      </w:r>
      <w:r w:rsidR="00F7311A" w:rsidRPr="00090A91">
        <w:rPr>
          <w:rFonts w:ascii="Arial" w:hAnsi="Arial"/>
          <w:color w:val="0070C0"/>
          <w:sz w:val="21"/>
          <w:szCs w:val="21"/>
        </w:rPr>
        <w:t xml:space="preserve">shippers, </w:t>
      </w:r>
      <w:r w:rsidR="009835D5" w:rsidRPr="00090A91">
        <w:rPr>
          <w:rFonts w:ascii="Arial" w:hAnsi="Arial"/>
          <w:color w:val="0070C0"/>
          <w:sz w:val="21"/>
          <w:szCs w:val="21"/>
        </w:rPr>
        <w:t xml:space="preserve">freight forwarders and </w:t>
      </w:r>
      <w:r w:rsidR="00F7311A" w:rsidRPr="00090A91">
        <w:rPr>
          <w:rFonts w:ascii="Arial" w:hAnsi="Arial"/>
          <w:color w:val="0070C0"/>
          <w:sz w:val="21"/>
          <w:szCs w:val="21"/>
        </w:rPr>
        <w:t>manufacturers.</w:t>
      </w:r>
    </w:p>
    <w:p w:rsidR="00F7311A" w:rsidRPr="00090A91" w:rsidRDefault="00F7311A" w:rsidP="00F45318">
      <w:pPr>
        <w:tabs>
          <w:tab w:val="left" w:pos="990"/>
        </w:tabs>
        <w:spacing w:before="120" w:after="120" w:line="300" w:lineRule="exact"/>
        <w:jc w:val="both"/>
        <w:rPr>
          <w:rFonts w:ascii="Arial" w:hAnsi="Arial"/>
          <w:color w:val="0070C0"/>
          <w:sz w:val="21"/>
          <w:szCs w:val="21"/>
        </w:rPr>
      </w:pPr>
      <w:r w:rsidRPr="00090A91">
        <w:rPr>
          <w:rFonts w:ascii="Arial" w:hAnsi="Arial"/>
          <w:color w:val="0070C0"/>
          <w:sz w:val="21"/>
          <w:szCs w:val="21"/>
        </w:rPr>
        <w:t xml:space="preserve">A successful implementation of a NSW rests with efforts on reform and modernization of trade- and customs-related procedures </w:t>
      </w:r>
      <w:proofErr w:type="gramStart"/>
      <w:r w:rsidRPr="00090A91">
        <w:rPr>
          <w:rFonts w:ascii="Arial" w:hAnsi="Arial"/>
          <w:color w:val="0070C0"/>
          <w:sz w:val="21"/>
          <w:szCs w:val="21"/>
        </w:rPr>
        <w:t>on the basis of</w:t>
      </w:r>
      <w:proofErr w:type="gramEnd"/>
      <w:r w:rsidRPr="00090A91">
        <w:rPr>
          <w:rFonts w:ascii="Arial" w:hAnsi="Arial"/>
          <w:color w:val="0070C0"/>
          <w:sz w:val="21"/>
          <w:szCs w:val="21"/>
        </w:rPr>
        <w:t xml:space="preserve"> international standards and practices. Information and Communication Technology would enable these efforts to progress faster.</w:t>
      </w:r>
    </w:p>
    <w:p w:rsidR="00F7311A" w:rsidRPr="00090A91" w:rsidRDefault="00F7311A" w:rsidP="00F45318">
      <w:pPr>
        <w:tabs>
          <w:tab w:val="left" w:pos="990"/>
        </w:tabs>
        <w:spacing w:before="120" w:after="120" w:line="300" w:lineRule="exact"/>
        <w:jc w:val="both"/>
        <w:rPr>
          <w:rFonts w:ascii="Arial" w:hAnsi="Arial"/>
          <w:color w:val="0070C0"/>
          <w:sz w:val="21"/>
          <w:szCs w:val="21"/>
        </w:rPr>
      </w:pPr>
      <w:r w:rsidRPr="00090A91">
        <w:rPr>
          <w:rFonts w:ascii="Arial" w:hAnsi="Arial"/>
          <w:color w:val="0070C0"/>
          <w:sz w:val="21"/>
          <w:szCs w:val="21"/>
        </w:rPr>
        <w:t>Specifically, the seminar would also present key features of the draft Roadmap of ENSW for consultation with the senior management, and expectedly it would lead to identify subsequent steps in updating the draft</w:t>
      </w:r>
      <w:r w:rsidR="00CB29AF" w:rsidRPr="00090A91">
        <w:rPr>
          <w:rFonts w:ascii="Arial" w:hAnsi="Arial"/>
          <w:color w:val="0070C0"/>
          <w:sz w:val="21"/>
          <w:szCs w:val="21"/>
        </w:rPr>
        <w:t xml:space="preserve"> as well as concerned matters. During the seminar, experts would assist the senior management of ECA and concerned agencies with detailed understanding of a National Single Window, including required preparations.</w:t>
      </w:r>
    </w:p>
    <w:p w:rsidR="00F45318" w:rsidRPr="00090A91" w:rsidRDefault="00F45318" w:rsidP="00F45318">
      <w:pPr>
        <w:tabs>
          <w:tab w:val="left" w:pos="990"/>
        </w:tabs>
        <w:spacing w:before="120" w:after="120" w:line="300" w:lineRule="exact"/>
        <w:jc w:val="both"/>
        <w:rPr>
          <w:rFonts w:ascii="Arial" w:hAnsi="Arial"/>
          <w:color w:val="0070C0"/>
          <w:sz w:val="21"/>
          <w:szCs w:val="21"/>
        </w:rPr>
      </w:pPr>
    </w:p>
    <w:p w:rsidR="00F45318" w:rsidRPr="00090A91" w:rsidRDefault="00F45318" w:rsidP="00DB6285">
      <w:pPr>
        <w:tabs>
          <w:tab w:val="left" w:pos="567"/>
        </w:tabs>
        <w:spacing w:before="120" w:after="120" w:line="300" w:lineRule="exact"/>
        <w:jc w:val="both"/>
        <w:rPr>
          <w:rFonts w:ascii="Arial" w:hAnsi="Arial"/>
          <w:b/>
          <w:bCs/>
          <w:color w:val="0070C0"/>
          <w:sz w:val="21"/>
          <w:szCs w:val="21"/>
          <w:lang w:bidi="ar-EG"/>
        </w:rPr>
      </w:pPr>
      <w:r w:rsidRPr="00090A91">
        <w:rPr>
          <w:rFonts w:ascii="Arial" w:hAnsi="Arial"/>
          <w:b/>
          <w:bCs/>
          <w:color w:val="0070C0"/>
          <w:sz w:val="21"/>
          <w:szCs w:val="21"/>
          <w:lang w:bidi="ar-EG"/>
        </w:rPr>
        <w:t>Objectives of the training</w:t>
      </w:r>
    </w:p>
    <w:p w:rsidR="00F45318" w:rsidRPr="00090A91" w:rsidRDefault="00F45318" w:rsidP="00F45318">
      <w:pPr>
        <w:spacing w:before="120" w:after="120" w:line="300" w:lineRule="exact"/>
        <w:jc w:val="both"/>
        <w:rPr>
          <w:rFonts w:ascii="Arial" w:hAnsi="Arial" w:cs="Arial"/>
          <w:color w:val="0070C0"/>
          <w:sz w:val="21"/>
          <w:szCs w:val="21"/>
        </w:rPr>
      </w:pPr>
      <w:r w:rsidRPr="00090A91">
        <w:rPr>
          <w:rFonts w:ascii="Arial" w:hAnsi="Arial" w:cs="Arial"/>
          <w:color w:val="0070C0"/>
          <w:sz w:val="21"/>
          <w:szCs w:val="21"/>
        </w:rPr>
        <w:t>The seminar pursues the following targets:</w:t>
      </w:r>
    </w:p>
    <w:p w:rsidR="00F45318" w:rsidRPr="00090A91" w:rsidRDefault="00F45318" w:rsidP="00F45318">
      <w:pPr>
        <w:spacing w:before="120" w:after="120" w:line="300" w:lineRule="exact"/>
        <w:jc w:val="both"/>
        <w:rPr>
          <w:rFonts w:ascii="Arial" w:hAnsi="Arial" w:cs="Arial"/>
          <w:color w:val="0070C0"/>
          <w:sz w:val="21"/>
          <w:szCs w:val="21"/>
        </w:rPr>
      </w:pPr>
      <w:r w:rsidRPr="00090A91">
        <w:rPr>
          <w:rFonts w:ascii="Arial" w:hAnsi="Arial" w:cs="Arial"/>
          <w:color w:val="0070C0"/>
          <w:sz w:val="21"/>
          <w:szCs w:val="21"/>
          <w:u w:val="single"/>
        </w:rPr>
        <w:t>Objective 1</w:t>
      </w:r>
      <w:r w:rsidRPr="00090A91">
        <w:rPr>
          <w:rFonts w:ascii="Arial" w:hAnsi="Arial" w:cs="Arial"/>
          <w:color w:val="0070C0"/>
          <w:sz w:val="21"/>
          <w:szCs w:val="21"/>
        </w:rPr>
        <w:t>: Explaining the NSW concepts.</w:t>
      </w:r>
      <w:r w:rsidR="00F7311A" w:rsidRPr="00090A91">
        <w:rPr>
          <w:rFonts w:ascii="Arial" w:hAnsi="Arial" w:cs="Arial"/>
          <w:color w:val="0070C0"/>
          <w:sz w:val="21"/>
          <w:szCs w:val="21"/>
        </w:rPr>
        <w:t xml:space="preserve"> Steps of building the NSW.</w:t>
      </w:r>
    </w:p>
    <w:p w:rsidR="00F45318" w:rsidRPr="00090A91" w:rsidRDefault="00F45318" w:rsidP="00F45318">
      <w:pPr>
        <w:spacing w:before="120" w:after="120" w:line="300" w:lineRule="exact"/>
        <w:jc w:val="both"/>
        <w:rPr>
          <w:rFonts w:ascii="Arial" w:hAnsi="Arial" w:cs="Arial"/>
          <w:color w:val="0070C0"/>
          <w:sz w:val="21"/>
          <w:szCs w:val="21"/>
        </w:rPr>
      </w:pPr>
      <w:r w:rsidRPr="00090A91">
        <w:rPr>
          <w:rFonts w:ascii="Arial" w:hAnsi="Arial" w:cs="Arial"/>
          <w:color w:val="0070C0"/>
          <w:sz w:val="21"/>
          <w:szCs w:val="21"/>
          <w:u w:val="single"/>
        </w:rPr>
        <w:t>Objective 2</w:t>
      </w:r>
      <w:r w:rsidRPr="00090A91">
        <w:rPr>
          <w:rFonts w:ascii="Arial" w:hAnsi="Arial" w:cs="Arial"/>
          <w:color w:val="0070C0"/>
          <w:sz w:val="21"/>
          <w:szCs w:val="21"/>
        </w:rPr>
        <w:t xml:space="preserve">: Various models of NSWs for different sectors and </w:t>
      </w:r>
      <w:r w:rsidR="00DB6285" w:rsidRPr="00090A91">
        <w:rPr>
          <w:rFonts w:ascii="Arial" w:hAnsi="Arial" w:cs="Arial"/>
          <w:color w:val="0070C0"/>
          <w:sz w:val="21"/>
          <w:szCs w:val="21"/>
        </w:rPr>
        <w:t>industries</w:t>
      </w:r>
      <w:r w:rsidRPr="00090A91">
        <w:rPr>
          <w:rFonts w:ascii="Arial" w:hAnsi="Arial" w:cs="Arial"/>
          <w:color w:val="0070C0"/>
          <w:sz w:val="21"/>
          <w:szCs w:val="21"/>
        </w:rPr>
        <w:t>.</w:t>
      </w:r>
    </w:p>
    <w:p w:rsidR="00F45318" w:rsidRPr="00090A91" w:rsidRDefault="00F45318" w:rsidP="00F45318">
      <w:pPr>
        <w:spacing w:before="120" w:after="120" w:line="300" w:lineRule="exact"/>
        <w:jc w:val="both"/>
        <w:rPr>
          <w:rFonts w:ascii="Arial" w:hAnsi="Arial" w:cs="Arial"/>
          <w:color w:val="0070C0"/>
          <w:sz w:val="21"/>
          <w:szCs w:val="21"/>
        </w:rPr>
      </w:pPr>
      <w:r w:rsidRPr="00090A91">
        <w:rPr>
          <w:rFonts w:ascii="Arial" w:hAnsi="Arial" w:cs="Arial"/>
          <w:color w:val="0070C0"/>
          <w:sz w:val="21"/>
          <w:szCs w:val="21"/>
          <w:u w:val="single"/>
        </w:rPr>
        <w:t>Objective 3</w:t>
      </w:r>
      <w:r w:rsidRPr="00090A91">
        <w:rPr>
          <w:rFonts w:ascii="Arial" w:hAnsi="Arial" w:cs="Arial"/>
          <w:color w:val="0070C0"/>
          <w:sz w:val="21"/>
          <w:szCs w:val="21"/>
        </w:rPr>
        <w:t>:</w:t>
      </w:r>
      <w:r w:rsidR="00F7311A" w:rsidRPr="00090A91">
        <w:rPr>
          <w:rFonts w:ascii="Arial" w:hAnsi="Arial" w:cs="Arial"/>
          <w:color w:val="0070C0"/>
          <w:sz w:val="21"/>
          <w:szCs w:val="21"/>
        </w:rPr>
        <w:t xml:space="preserve"> Presentation of the draft Roadmap of ENSW</w:t>
      </w:r>
      <w:proofErr w:type="gramStart"/>
      <w:r w:rsidR="00F7311A" w:rsidRPr="00090A91">
        <w:rPr>
          <w:rFonts w:ascii="Arial" w:hAnsi="Arial" w:cs="Arial"/>
          <w:color w:val="0070C0"/>
          <w:sz w:val="21"/>
          <w:szCs w:val="21"/>
        </w:rPr>
        <w:t xml:space="preserve">. </w:t>
      </w:r>
      <w:r w:rsidRPr="00090A91">
        <w:rPr>
          <w:rFonts w:ascii="Arial" w:hAnsi="Arial" w:cs="Arial"/>
          <w:color w:val="0070C0"/>
          <w:sz w:val="21"/>
          <w:szCs w:val="21"/>
        </w:rPr>
        <w:t>.</w:t>
      </w:r>
      <w:proofErr w:type="gramEnd"/>
    </w:p>
    <w:p w:rsidR="00F45318" w:rsidRPr="00090A91" w:rsidRDefault="00F45318" w:rsidP="00F45318">
      <w:pPr>
        <w:spacing w:before="120" w:after="120" w:line="300" w:lineRule="exact"/>
        <w:jc w:val="both"/>
        <w:rPr>
          <w:rFonts w:ascii="Arial" w:hAnsi="Arial" w:cs="Arial"/>
          <w:color w:val="0070C0"/>
          <w:sz w:val="21"/>
          <w:szCs w:val="21"/>
        </w:rPr>
      </w:pPr>
      <w:r w:rsidRPr="00090A91">
        <w:rPr>
          <w:rFonts w:ascii="Arial" w:hAnsi="Arial" w:cs="Arial"/>
          <w:color w:val="0070C0"/>
          <w:sz w:val="21"/>
          <w:szCs w:val="21"/>
          <w:u w:val="single"/>
        </w:rPr>
        <w:t>Objective 4</w:t>
      </w:r>
      <w:r w:rsidRPr="00090A91">
        <w:rPr>
          <w:rFonts w:ascii="Arial" w:hAnsi="Arial" w:cs="Arial"/>
          <w:color w:val="0070C0"/>
          <w:sz w:val="21"/>
          <w:szCs w:val="21"/>
        </w:rPr>
        <w:t>: Clarifying the cooperation and contribution of the participating agencies in the NSW.</w:t>
      </w:r>
    </w:p>
    <w:p w:rsidR="00F45318" w:rsidRPr="00090A91" w:rsidRDefault="00F45318" w:rsidP="00F45318">
      <w:pPr>
        <w:spacing w:before="120" w:after="120" w:line="300" w:lineRule="exact"/>
        <w:jc w:val="both"/>
        <w:rPr>
          <w:rFonts w:ascii="Arial" w:hAnsi="Arial" w:cs="Arial"/>
          <w:color w:val="0070C0"/>
          <w:sz w:val="21"/>
          <w:szCs w:val="21"/>
        </w:rPr>
      </w:pPr>
      <w:r w:rsidRPr="00090A91">
        <w:rPr>
          <w:rFonts w:ascii="Arial" w:hAnsi="Arial" w:cs="Arial"/>
          <w:color w:val="0070C0"/>
          <w:sz w:val="21"/>
          <w:szCs w:val="21"/>
          <w:u w:val="single"/>
        </w:rPr>
        <w:t>Objective 5</w:t>
      </w:r>
      <w:r w:rsidRPr="00090A91">
        <w:rPr>
          <w:rFonts w:ascii="Arial" w:hAnsi="Arial" w:cs="Arial"/>
          <w:color w:val="0070C0"/>
          <w:sz w:val="21"/>
          <w:szCs w:val="21"/>
        </w:rPr>
        <w:t>: Explaining the crucial role of senior management in building and operating the NSW.</w:t>
      </w:r>
    </w:p>
    <w:p w:rsidR="00DE0378" w:rsidRPr="00090A91" w:rsidRDefault="00DE0378" w:rsidP="00DB6285">
      <w:pPr>
        <w:tabs>
          <w:tab w:val="left" w:pos="990"/>
        </w:tabs>
        <w:spacing w:before="120" w:after="120" w:line="300" w:lineRule="exact"/>
        <w:jc w:val="both"/>
        <w:rPr>
          <w:rFonts w:ascii="Arial" w:hAnsi="Arial"/>
          <w:color w:val="0070C0"/>
          <w:sz w:val="21"/>
          <w:szCs w:val="21"/>
        </w:rPr>
      </w:pPr>
      <w:r w:rsidRPr="00090A91">
        <w:rPr>
          <w:rFonts w:ascii="Arial" w:hAnsi="Arial"/>
          <w:vanish/>
          <w:color w:val="0070C0"/>
          <w:sz w:val="21"/>
          <w:szCs w:val="21"/>
        </w:rPr>
        <w:t xml:space="preserve"> National Single Window.f trade and customs procedures.</w:t>
      </w:r>
      <w:r w:rsidRPr="00090A91">
        <w:rPr>
          <w:rFonts w:ascii="Arial" w:hAnsi="Arial"/>
          <w:vanish/>
          <w:color w:val="0070C0"/>
          <w:sz w:val="21"/>
          <w:szCs w:val="21"/>
        </w:rPr>
        <w:cr/>
        <w:t xml:space="preserve"> Single Window.release of shipments through international entries into </w:t>
      </w:r>
    </w:p>
    <w:p w:rsidR="00DE0378" w:rsidRPr="00090A91" w:rsidRDefault="00DE0378" w:rsidP="009E6358">
      <w:pPr>
        <w:pStyle w:val="ListParagraph"/>
        <w:numPr>
          <w:ilvl w:val="0"/>
          <w:numId w:val="2"/>
        </w:numPr>
        <w:spacing w:before="120" w:after="120" w:line="300" w:lineRule="exact"/>
        <w:ind w:left="567" w:hanging="567"/>
        <w:contextualSpacing w:val="0"/>
        <w:jc w:val="both"/>
        <w:rPr>
          <w:rFonts w:ascii="Arial" w:hAnsi="Arial"/>
          <w:color w:val="0070C0"/>
          <w:sz w:val="21"/>
          <w:szCs w:val="21"/>
          <w:lang w:bidi="ar-EG"/>
        </w:rPr>
      </w:pPr>
      <w:r w:rsidRPr="00090A91">
        <w:rPr>
          <w:rFonts w:ascii="Arial" w:hAnsi="Arial"/>
          <w:b/>
          <w:color w:val="0070C0"/>
          <w:sz w:val="21"/>
          <w:szCs w:val="21"/>
          <w:lang w:bidi="ar-EG"/>
        </w:rPr>
        <w:lastRenderedPageBreak/>
        <w:t>Expected Outputs of the Seminar</w:t>
      </w:r>
      <w:r w:rsidRPr="00090A91">
        <w:rPr>
          <w:rFonts w:ascii="Arial" w:hAnsi="Arial"/>
          <w:color w:val="0070C0"/>
          <w:sz w:val="21"/>
          <w:szCs w:val="21"/>
          <w:lang w:bidi="ar-EG"/>
        </w:rPr>
        <w:t>:</w:t>
      </w:r>
    </w:p>
    <w:p w:rsidR="00DE0378" w:rsidRPr="00090A91" w:rsidRDefault="00DE0378" w:rsidP="009E6358">
      <w:pPr>
        <w:pStyle w:val="ListParagraph"/>
        <w:numPr>
          <w:ilvl w:val="0"/>
          <w:numId w:val="8"/>
        </w:numPr>
        <w:tabs>
          <w:tab w:val="left" w:pos="567"/>
        </w:tabs>
        <w:spacing w:before="120" w:after="120" w:line="300" w:lineRule="exact"/>
        <w:ind w:left="0" w:firstLine="0"/>
        <w:contextualSpacing w:val="0"/>
        <w:jc w:val="both"/>
        <w:rPr>
          <w:rFonts w:ascii="Arial" w:hAnsi="Arial"/>
          <w:color w:val="0070C0"/>
          <w:sz w:val="21"/>
          <w:szCs w:val="21"/>
          <w:lang w:bidi="ar-EG"/>
        </w:rPr>
      </w:pPr>
      <w:r w:rsidRPr="00090A91">
        <w:rPr>
          <w:rFonts w:ascii="Arial" w:hAnsi="Arial"/>
          <w:color w:val="0070C0"/>
          <w:sz w:val="21"/>
          <w:szCs w:val="21"/>
          <w:lang w:bidi="ar-EG"/>
        </w:rPr>
        <w:t>Adoption of the definition of Egypt NSW in the operational environment of Egypt through discussions and exchange of views, facilitated by UNDP. Review of international best practices in developing a National Single Window.</w:t>
      </w:r>
    </w:p>
    <w:p w:rsidR="00DE0378" w:rsidRPr="00090A91" w:rsidRDefault="00DE0378" w:rsidP="009E6358">
      <w:pPr>
        <w:pStyle w:val="ListParagraph"/>
        <w:numPr>
          <w:ilvl w:val="0"/>
          <w:numId w:val="8"/>
        </w:numPr>
        <w:tabs>
          <w:tab w:val="left" w:pos="567"/>
        </w:tabs>
        <w:spacing w:before="120" w:after="120" w:line="300" w:lineRule="exact"/>
        <w:ind w:left="0" w:firstLine="0"/>
        <w:contextualSpacing w:val="0"/>
        <w:jc w:val="both"/>
        <w:rPr>
          <w:rFonts w:ascii="Arial" w:hAnsi="Arial"/>
          <w:color w:val="0070C0"/>
          <w:sz w:val="21"/>
          <w:szCs w:val="21"/>
          <w:lang w:bidi="ar-EG"/>
        </w:rPr>
      </w:pPr>
      <w:r w:rsidRPr="00090A91">
        <w:rPr>
          <w:rFonts w:ascii="Arial" w:hAnsi="Arial"/>
          <w:color w:val="0070C0"/>
          <w:sz w:val="21"/>
          <w:szCs w:val="21"/>
          <w:lang w:bidi="ar-EG"/>
        </w:rPr>
        <w:t>Development of a National Single Window and modernization of trade and customs practices.</w:t>
      </w:r>
    </w:p>
    <w:p w:rsidR="00DE0378" w:rsidRPr="00090A91" w:rsidRDefault="00DE0378" w:rsidP="009E6358">
      <w:pPr>
        <w:pStyle w:val="ListParagraph"/>
        <w:numPr>
          <w:ilvl w:val="0"/>
          <w:numId w:val="8"/>
        </w:numPr>
        <w:tabs>
          <w:tab w:val="left" w:pos="567"/>
        </w:tabs>
        <w:spacing w:before="120" w:after="120" w:line="300" w:lineRule="exact"/>
        <w:ind w:left="0" w:firstLine="0"/>
        <w:contextualSpacing w:val="0"/>
        <w:jc w:val="both"/>
        <w:rPr>
          <w:rFonts w:ascii="Arial" w:hAnsi="Arial"/>
          <w:color w:val="0070C0"/>
          <w:sz w:val="21"/>
          <w:szCs w:val="21"/>
          <w:lang w:bidi="ar-EG"/>
        </w:rPr>
      </w:pPr>
      <w:r w:rsidRPr="00090A91">
        <w:rPr>
          <w:rFonts w:ascii="Arial" w:hAnsi="Arial"/>
          <w:color w:val="0070C0"/>
          <w:sz w:val="21"/>
          <w:szCs w:val="21"/>
          <w:lang w:bidi="ar-EG"/>
        </w:rPr>
        <w:t>Presentation of experiences of preparatory works for a national single window</w:t>
      </w:r>
    </w:p>
    <w:p w:rsidR="00DE0378" w:rsidRPr="00090A91" w:rsidRDefault="00DE0378" w:rsidP="009E6358">
      <w:pPr>
        <w:pStyle w:val="ListParagraph"/>
        <w:numPr>
          <w:ilvl w:val="0"/>
          <w:numId w:val="8"/>
        </w:numPr>
        <w:tabs>
          <w:tab w:val="left" w:pos="567"/>
        </w:tabs>
        <w:spacing w:before="120" w:after="120" w:line="300" w:lineRule="exact"/>
        <w:ind w:left="0" w:firstLine="0"/>
        <w:contextualSpacing w:val="0"/>
        <w:jc w:val="both"/>
        <w:rPr>
          <w:rFonts w:ascii="Arial" w:hAnsi="Arial"/>
          <w:color w:val="0070C0"/>
          <w:sz w:val="21"/>
          <w:szCs w:val="21"/>
          <w:lang w:bidi="ar-EG"/>
        </w:rPr>
      </w:pPr>
      <w:r w:rsidRPr="00090A91">
        <w:rPr>
          <w:rFonts w:ascii="Arial" w:hAnsi="Arial"/>
          <w:color w:val="0070C0"/>
          <w:sz w:val="21"/>
          <w:szCs w:val="21"/>
          <w:lang w:bidi="ar-EG"/>
        </w:rPr>
        <w:t>Presentation of experiences of a Customs-oriented Single Window of one Arab country</w:t>
      </w:r>
      <w:r w:rsidR="00DB6285" w:rsidRPr="00090A91">
        <w:rPr>
          <w:rFonts w:ascii="Arial" w:hAnsi="Arial"/>
          <w:color w:val="0070C0"/>
          <w:sz w:val="21"/>
          <w:szCs w:val="21"/>
          <w:lang w:bidi="ar-EG"/>
        </w:rPr>
        <w:t xml:space="preserve"> as illustration</w:t>
      </w:r>
      <w:r w:rsidRPr="00090A91">
        <w:rPr>
          <w:rFonts w:ascii="Arial" w:hAnsi="Arial"/>
          <w:color w:val="0070C0"/>
          <w:sz w:val="21"/>
          <w:szCs w:val="21"/>
          <w:lang w:bidi="ar-EG"/>
        </w:rPr>
        <w:t>.</w:t>
      </w:r>
    </w:p>
    <w:p w:rsidR="009E6358" w:rsidRPr="00090A91" w:rsidRDefault="009E6358" w:rsidP="00561152">
      <w:pPr>
        <w:pStyle w:val="ListParagraph"/>
        <w:numPr>
          <w:ilvl w:val="0"/>
          <w:numId w:val="8"/>
        </w:numPr>
        <w:tabs>
          <w:tab w:val="left" w:pos="567"/>
        </w:tabs>
        <w:spacing w:before="120" w:after="120" w:line="300" w:lineRule="exact"/>
        <w:ind w:left="0" w:firstLine="0"/>
        <w:contextualSpacing w:val="0"/>
        <w:jc w:val="both"/>
        <w:rPr>
          <w:rFonts w:ascii="Arial" w:hAnsi="Arial"/>
          <w:color w:val="0070C0"/>
          <w:sz w:val="21"/>
          <w:szCs w:val="21"/>
          <w:lang w:bidi="ar-EG"/>
        </w:rPr>
      </w:pPr>
      <w:r w:rsidRPr="00090A91">
        <w:rPr>
          <w:rFonts w:ascii="Arial" w:hAnsi="Arial"/>
          <w:color w:val="0070C0"/>
          <w:sz w:val="21"/>
          <w:szCs w:val="21"/>
          <w:lang w:bidi="ar-EG"/>
        </w:rPr>
        <w:t>Discussion of future activities to activate ENSW.</w:t>
      </w:r>
    </w:p>
    <w:p w:rsidR="00561152" w:rsidRPr="00090A91" w:rsidRDefault="00561152" w:rsidP="00561152">
      <w:pPr>
        <w:pStyle w:val="ListParagraph"/>
        <w:tabs>
          <w:tab w:val="left" w:pos="567"/>
        </w:tabs>
        <w:spacing w:before="120" w:after="120" w:line="300" w:lineRule="exact"/>
        <w:ind w:left="0"/>
        <w:contextualSpacing w:val="0"/>
        <w:jc w:val="both"/>
        <w:rPr>
          <w:rFonts w:ascii="Arial" w:hAnsi="Arial"/>
          <w:color w:val="0070C0"/>
          <w:sz w:val="21"/>
          <w:szCs w:val="21"/>
          <w:lang w:bidi="ar-EG"/>
        </w:rPr>
      </w:pPr>
    </w:p>
    <w:p w:rsidR="009E6358" w:rsidRPr="00090A91" w:rsidRDefault="009E6358" w:rsidP="00561152">
      <w:pPr>
        <w:pStyle w:val="ListParagraph"/>
        <w:numPr>
          <w:ilvl w:val="0"/>
          <w:numId w:val="2"/>
        </w:numPr>
        <w:tabs>
          <w:tab w:val="left" w:pos="567"/>
        </w:tabs>
        <w:spacing w:before="120" w:after="120" w:line="300" w:lineRule="exact"/>
        <w:ind w:hanging="1080"/>
        <w:contextualSpacing w:val="0"/>
        <w:jc w:val="both"/>
        <w:rPr>
          <w:rFonts w:ascii="Arial" w:hAnsi="Arial"/>
          <w:b/>
          <w:color w:val="0070C0"/>
          <w:sz w:val="21"/>
          <w:szCs w:val="21"/>
          <w:lang w:bidi="ar-EG"/>
        </w:rPr>
      </w:pPr>
      <w:r w:rsidRPr="00090A91">
        <w:rPr>
          <w:rFonts w:ascii="Arial" w:hAnsi="Arial"/>
          <w:b/>
          <w:color w:val="0070C0"/>
          <w:sz w:val="21"/>
          <w:szCs w:val="21"/>
          <w:lang w:bidi="ar-EG"/>
        </w:rPr>
        <w:t>Technical Documentation</w:t>
      </w:r>
    </w:p>
    <w:p w:rsidR="009E6358" w:rsidRPr="00090A91" w:rsidRDefault="009E6358" w:rsidP="00561152">
      <w:pPr>
        <w:pStyle w:val="ListParagraph"/>
        <w:numPr>
          <w:ilvl w:val="0"/>
          <w:numId w:val="11"/>
        </w:numPr>
        <w:tabs>
          <w:tab w:val="left" w:pos="567"/>
          <w:tab w:val="left" w:pos="993"/>
        </w:tabs>
        <w:spacing w:before="120" w:after="120" w:line="300" w:lineRule="exact"/>
        <w:ind w:left="567" w:firstLine="0"/>
        <w:contextualSpacing w:val="0"/>
        <w:jc w:val="both"/>
        <w:rPr>
          <w:rFonts w:ascii="Arial" w:hAnsi="Arial"/>
          <w:color w:val="0070C0"/>
          <w:sz w:val="21"/>
          <w:szCs w:val="21"/>
          <w:lang w:bidi="ar-EG"/>
        </w:rPr>
      </w:pPr>
      <w:r w:rsidRPr="00090A91">
        <w:rPr>
          <w:rFonts w:ascii="Arial" w:hAnsi="Arial"/>
          <w:color w:val="0070C0"/>
          <w:sz w:val="21"/>
          <w:szCs w:val="21"/>
          <w:lang w:bidi="ar-EG"/>
        </w:rPr>
        <w:t>Recommendation 33 by UNECE.</w:t>
      </w:r>
    </w:p>
    <w:p w:rsidR="009E6358" w:rsidRPr="00090A91" w:rsidRDefault="009E6358" w:rsidP="00561152">
      <w:pPr>
        <w:pStyle w:val="ListParagraph"/>
        <w:numPr>
          <w:ilvl w:val="0"/>
          <w:numId w:val="11"/>
        </w:numPr>
        <w:tabs>
          <w:tab w:val="left" w:pos="567"/>
          <w:tab w:val="left" w:pos="993"/>
        </w:tabs>
        <w:spacing w:before="120" w:after="120" w:line="300" w:lineRule="exact"/>
        <w:ind w:left="567" w:firstLine="0"/>
        <w:contextualSpacing w:val="0"/>
        <w:jc w:val="both"/>
        <w:rPr>
          <w:rFonts w:ascii="Arial" w:hAnsi="Arial"/>
          <w:color w:val="0070C0"/>
          <w:sz w:val="21"/>
          <w:szCs w:val="21"/>
          <w:lang w:bidi="ar-EG"/>
        </w:rPr>
      </w:pPr>
      <w:r w:rsidRPr="00090A91">
        <w:rPr>
          <w:rFonts w:ascii="Arial" w:hAnsi="Arial"/>
          <w:color w:val="0070C0"/>
          <w:sz w:val="21"/>
          <w:szCs w:val="21"/>
          <w:lang w:bidi="ar-EG"/>
        </w:rPr>
        <w:t>Draft 1 of the Roadmap of Egypt NSW.</w:t>
      </w:r>
    </w:p>
    <w:p w:rsidR="009E6358" w:rsidRDefault="009E6358" w:rsidP="00561152">
      <w:pPr>
        <w:pStyle w:val="ListParagraph"/>
        <w:numPr>
          <w:ilvl w:val="0"/>
          <w:numId w:val="11"/>
        </w:numPr>
        <w:tabs>
          <w:tab w:val="left" w:pos="567"/>
          <w:tab w:val="left" w:pos="993"/>
        </w:tabs>
        <w:spacing w:before="120" w:after="120" w:line="300" w:lineRule="exact"/>
        <w:ind w:left="567" w:firstLine="0"/>
        <w:contextualSpacing w:val="0"/>
        <w:jc w:val="both"/>
        <w:rPr>
          <w:rFonts w:ascii="Arial" w:hAnsi="Arial"/>
          <w:color w:val="0070C0"/>
          <w:sz w:val="21"/>
          <w:szCs w:val="21"/>
          <w:lang w:bidi="ar-EG"/>
        </w:rPr>
      </w:pPr>
      <w:r w:rsidRPr="00090A91">
        <w:rPr>
          <w:rFonts w:ascii="Arial" w:hAnsi="Arial"/>
          <w:color w:val="0070C0"/>
          <w:sz w:val="21"/>
          <w:szCs w:val="21"/>
          <w:lang w:bidi="ar-EG"/>
        </w:rPr>
        <w:t>Technical paper on the conceptual approach of Egypt NSW by UNDP.</w:t>
      </w:r>
    </w:p>
    <w:p w:rsidR="00090A91" w:rsidRPr="00090A91" w:rsidRDefault="00090A91" w:rsidP="00090A91">
      <w:pPr>
        <w:pStyle w:val="ListParagraph"/>
        <w:tabs>
          <w:tab w:val="left" w:pos="567"/>
          <w:tab w:val="left" w:pos="993"/>
        </w:tabs>
        <w:spacing w:before="120" w:after="120" w:line="300" w:lineRule="exact"/>
        <w:ind w:left="567"/>
        <w:contextualSpacing w:val="0"/>
        <w:jc w:val="both"/>
        <w:rPr>
          <w:rFonts w:ascii="Arial" w:hAnsi="Arial"/>
          <w:color w:val="0070C0"/>
          <w:sz w:val="21"/>
          <w:szCs w:val="21"/>
          <w:lang w:bidi="ar-EG"/>
        </w:rPr>
      </w:pPr>
    </w:p>
    <w:p w:rsidR="009E6358" w:rsidRPr="00090A91" w:rsidRDefault="0005420C" w:rsidP="00B369B1">
      <w:pPr>
        <w:pStyle w:val="ListParagraph"/>
        <w:numPr>
          <w:ilvl w:val="0"/>
          <w:numId w:val="2"/>
        </w:numPr>
        <w:tabs>
          <w:tab w:val="left" w:pos="567"/>
        </w:tabs>
        <w:spacing w:before="120" w:after="120" w:line="300" w:lineRule="exact"/>
        <w:ind w:hanging="1080"/>
        <w:contextualSpacing w:val="0"/>
        <w:jc w:val="both"/>
        <w:rPr>
          <w:rFonts w:ascii="Arial" w:hAnsi="Arial"/>
          <w:b/>
          <w:color w:val="0070C0"/>
          <w:sz w:val="21"/>
          <w:szCs w:val="21"/>
          <w:lang w:bidi="ar-EG"/>
        </w:rPr>
      </w:pPr>
      <w:r w:rsidRPr="00090A91">
        <w:rPr>
          <w:rFonts w:ascii="Arial" w:hAnsi="Arial"/>
          <w:b/>
          <w:color w:val="0070C0"/>
          <w:sz w:val="21"/>
          <w:szCs w:val="21"/>
          <w:lang w:bidi="ar-EG"/>
        </w:rPr>
        <w:t>Work methodology</w:t>
      </w:r>
    </w:p>
    <w:p w:rsidR="0005420C" w:rsidRDefault="0005420C" w:rsidP="00566635">
      <w:pPr>
        <w:pStyle w:val="ListParagraph"/>
        <w:tabs>
          <w:tab w:val="left" w:pos="567"/>
        </w:tabs>
        <w:spacing w:before="120" w:after="120" w:line="300" w:lineRule="exact"/>
        <w:ind w:left="0"/>
        <w:contextualSpacing w:val="0"/>
        <w:jc w:val="both"/>
        <w:rPr>
          <w:rFonts w:ascii="Arial" w:hAnsi="Arial"/>
          <w:color w:val="0070C0"/>
          <w:sz w:val="21"/>
          <w:szCs w:val="21"/>
          <w:lang w:bidi="ar-EG"/>
        </w:rPr>
      </w:pPr>
      <w:r w:rsidRPr="00090A91">
        <w:rPr>
          <w:rFonts w:ascii="Arial" w:hAnsi="Arial"/>
          <w:color w:val="0070C0"/>
          <w:sz w:val="21"/>
          <w:szCs w:val="21"/>
          <w:lang w:bidi="ar-EG"/>
        </w:rPr>
        <w:t>The workshop would be interactive and conducted in a blend of thematic presentations, short exercises and plenary discussion</w:t>
      </w:r>
      <w:r w:rsidR="002A27B9" w:rsidRPr="00090A91">
        <w:rPr>
          <w:rFonts w:ascii="Arial" w:hAnsi="Arial"/>
          <w:color w:val="0070C0"/>
          <w:sz w:val="21"/>
          <w:szCs w:val="21"/>
          <w:lang w:bidi="ar-EG"/>
        </w:rPr>
        <w:t>.</w:t>
      </w:r>
      <w:r w:rsidR="00F7311A" w:rsidRPr="00090A91">
        <w:rPr>
          <w:rFonts w:ascii="Arial" w:hAnsi="Arial"/>
          <w:color w:val="0070C0"/>
          <w:sz w:val="21"/>
          <w:szCs w:val="21"/>
          <w:lang w:bidi="ar-EG"/>
        </w:rPr>
        <w:t xml:space="preserve"> The main reference consists of the draft Roadmap of ENSW, the technical paper on the conceptual approach for ENSW and Recommendation 33</w:t>
      </w:r>
      <w:r w:rsidR="00566635" w:rsidRPr="00090A91">
        <w:rPr>
          <w:rFonts w:ascii="Arial" w:hAnsi="Arial"/>
          <w:color w:val="0070C0"/>
          <w:sz w:val="21"/>
          <w:szCs w:val="21"/>
          <w:lang w:bidi="ar-EG"/>
        </w:rPr>
        <w:t>, as well as the WTO Trade Facilitation Agreement</w:t>
      </w:r>
      <w:r w:rsidR="00F7311A" w:rsidRPr="00090A91">
        <w:rPr>
          <w:rFonts w:ascii="Arial" w:hAnsi="Arial"/>
          <w:color w:val="0070C0"/>
          <w:sz w:val="21"/>
          <w:szCs w:val="21"/>
          <w:lang w:bidi="ar-EG"/>
        </w:rPr>
        <w:t>.</w:t>
      </w:r>
    </w:p>
    <w:p w:rsidR="00090A91" w:rsidRPr="00090A91" w:rsidRDefault="00090A91" w:rsidP="00566635">
      <w:pPr>
        <w:pStyle w:val="ListParagraph"/>
        <w:tabs>
          <w:tab w:val="left" w:pos="567"/>
        </w:tabs>
        <w:spacing w:before="120" w:after="120" w:line="300" w:lineRule="exact"/>
        <w:ind w:left="0"/>
        <w:contextualSpacing w:val="0"/>
        <w:jc w:val="both"/>
        <w:rPr>
          <w:rFonts w:ascii="Arial" w:hAnsi="Arial"/>
          <w:color w:val="0070C0"/>
          <w:sz w:val="21"/>
          <w:szCs w:val="21"/>
          <w:lang w:bidi="ar-EG"/>
        </w:rPr>
      </w:pPr>
    </w:p>
    <w:p w:rsidR="005E30EE" w:rsidRPr="00090A91" w:rsidRDefault="005E30EE" w:rsidP="00566635">
      <w:pPr>
        <w:pStyle w:val="ListParagraph"/>
        <w:numPr>
          <w:ilvl w:val="0"/>
          <w:numId w:val="2"/>
        </w:numPr>
        <w:spacing w:before="120" w:after="120" w:line="300" w:lineRule="exact"/>
        <w:ind w:left="0" w:firstLine="0"/>
        <w:contextualSpacing w:val="0"/>
        <w:jc w:val="both"/>
        <w:rPr>
          <w:rFonts w:ascii="Arial" w:hAnsi="Arial"/>
          <w:b/>
          <w:bCs/>
          <w:color w:val="0070C0"/>
          <w:sz w:val="21"/>
          <w:szCs w:val="21"/>
          <w:lang w:bidi="ar-EG"/>
        </w:rPr>
      </w:pPr>
      <w:r w:rsidRPr="00090A91">
        <w:rPr>
          <w:rFonts w:ascii="Arial" w:hAnsi="Arial"/>
          <w:b/>
          <w:bCs/>
          <w:color w:val="0070C0"/>
          <w:sz w:val="21"/>
          <w:szCs w:val="21"/>
          <w:lang w:bidi="ar-EG"/>
        </w:rPr>
        <w:t xml:space="preserve">Target audience of the training </w:t>
      </w:r>
    </w:p>
    <w:p w:rsidR="005E30EE" w:rsidRPr="00090A91" w:rsidRDefault="005E30EE" w:rsidP="00684D55">
      <w:pPr>
        <w:pStyle w:val="ListParagraph"/>
        <w:spacing w:before="120" w:after="120" w:line="300" w:lineRule="exact"/>
        <w:contextualSpacing w:val="0"/>
        <w:jc w:val="both"/>
        <w:rPr>
          <w:rFonts w:ascii="Arial" w:hAnsi="Arial"/>
          <w:color w:val="0070C0"/>
          <w:sz w:val="21"/>
          <w:szCs w:val="21"/>
          <w:lang w:bidi="ar-EG"/>
        </w:rPr>
      </w:pPr>
    </w:p>
    <w:p w:rsidR="00566635" w:rsidRPr="00090A91" w:rsidRDefault="00F7311A" w:rsidP="00684D55">
      <w:pPr>
        <w:pStyle w:val="ListParagraph"/>
        <w:numPr>
          <w:ilvl w:val="0"/>
          <w:numId w:val="3"/>
        </w:numPr>
        <w:spacing w:before="120" w:after="120" w:line="300" w:lineRule="exact"/>
        <w:contextualSpacing w:val="0"/>
        <w:jc w:val="both"/>
        <w:rPr>
          <w:rFonts w:ascii="Arial" w:hAnsi="Arial"/>
          <w:color w:val="0070C0"/>
          <w:sz w:val="21"/>
          <w:szCs w:val="21"/>
          <w:lang w:bidi="ar-EG"/>
        </w:rPr>
      </w:pPr>
      <w:r w:rsidRPr="00090A91">
        <w:rPr>
          <w:rFonts w:ascii="Arial" w:hAnsi="Arial"/>
          <w:color w:val="0070C0"/>
          <w:sz w:val="21"/>
          <w:szCs w:val="21"/>
          <w:lang w:bidi="ar-EG"/>
        </w:rPr>
        <w:t xml:space="preserve">Heads of </w:t>
      </w:r>
      <w:r w:rsidR="001518C0" w:rsidRPr="00090A91">
        <w:rPr>
          <w:rFonts w:ascii="Arial" w:hAnsi="Arial"/>
          <w:color w:val="0070C0"/>
          <w:sz w:val="21"/>
          <w:szCs w:val="21"/>
          <w:lang w:bidi="ar-EG"/>
        </w:rPr>
        <w:t xml:space="preserve">Departments, Divisions in charge </w:t>
      </w:r>
      <w:r w:rsidR="00566635" w:rsidRPr="00090A91">
        <w:rPr>
          <w:rFonts w:ascii="Arial" w:hAnsi="Arial"/>
          <w:color w:val="0070C0"/>
          <w:sz w:val="21"/>
          <w:szCs w:val="21"/>
          <w:lang w:bidi="ar-EG"/>
        </w:rPr>
        <w:t>of procedures, risk management, of applications of information and communication technology.</w:t>
      </w:r>
    </w:p>
    <w:p w:rsidR="00566635" w:rsidRPr="00090A91" w:rsidRDefault="00566635" w:rsidP="00684D55">
      <w:pPr>
        <w:pStyle w:val="ListParagraph"/>
        <w:numPr>
          <w:ilvl w:val="0"/>
          <w:numId w:val="3"/>
        </w:numPr>
        <w:spacing w:before="120" w:after="120" w:line="300" w:lineRule="exact"/>
        <w:contextualSpacing w:val="0"/>
        <w:jc w:val="both"/>
        <w:rPr>
          <w:rFonts w:ascii="Arial" w:hAnsi="Arial"/>
          <w:color w:val="0070C0"/>
          <w:sz w:val="21"/>
          <w:szCs w:val="21"/>
          <w:lang w:bidi="ar-EG"/>
        </w:rPr>
      </w:pPr>
      <w:r w:rsidRPr="00090A91">
        <w:rPr>
          <w:rFonts w:ascii="Arial" w:hAnsi="Arial"/>
          <w:color w:val="0070C0"/>
          <w:sz w:val="21"/>
          <w:szCs w:val="21"/>
          <w:lang w:bidi="ar-EG"/>
        </w:rPr>
        <w:t>Representatives of the Ministry of Finance.</w:t>
      </w:r>
    </w:p>
    <w:p w:rsidR="00566635" w:rsidRPr="00090A91" w:rsidRDefault="00566635" w:rsidP="00684D55">
      <w:pPr>
        <w:pStyle w:val="ListParagraph"/>
        <w:numPr>
          <w:ilvl w:val="0"/>
          <w:numId w:val="3"/>
        </w:numPr>
        <w:spacing w:before="120" w:after="120" w:line="300" w:lineRule="exact"/>
        <w:contextualSpacing w:val="0"/>
        <w:jc w:val="both"/>
        <w:rPr>
          <w:rFonts w:ascii="Arial" w:hAnsi="Arial"/>
          <w:color w:val="0070C0"/>
          <w:sz w:val="21"/>
          <w:szCs w:val="21"/>
          <w:lang w:bidi="ar-EG"/>
        </w:rPr>
      </w:pPr>
      <w:r w:rsidRPr="00090A91">
        <w:rPr>
          <w:rFonts w:ascii="Arial" w:hAnsi="Arial"/>
          <w:color w:val="0070C0"/>
          <w:sz w:val="21"/>
          <w:szCs w:val="21"/>
          <w:lang w:bidi="ar-EG"/>
        </w:rPr>
        <w:t>Representatives of GOEIC.</w:t>
      </w:r>
    </w:p>
    <w:p w:rsidR="00566635" w:rsidRPr="00090A91" w:rsidRDefault="00566635" w:rsidP="00684D55">
      <w:pPr>
        <w:pStyle w:val="ListParagraph"/>
        <w:numPr>
          <w:ilvl w:val="0"/>
          <w:numId w:val="3"/>
        </w:numPr>
        <w:spacing w:before="120" w:after="120" w:line="300" w:lineRule="exact"/>
        <w:contextualSpacing w:val="0"/>
        <w:jc w:val="both"/>
        <w:rPr>
          <w:rFonts w:ascii="Arial" w:hAnsi="Arial"/>
          <w:color w:val="0070C0"/>
          <w:sz w:val="21"/>
          <w:szCs w:val="21"/>
          <w:lang w:bidi="ar-EG"/>
        </w:rPr>
      </w:pPr>
      <w:r w:rsidRPr="00090A91">
        <w:rPr>
          <w:rFonts w:ascii="Arial" w:hAnsi="Arial"/>
          <w:color w:val="0070C0"/>
          <w:sz w:val="21"/>
          <w:szCs w:val="21"/>
          <w:lang w:bidi="ar-EG"/>
        </w:rPr>
        <w:t>Representatives of port authorities.</w:t>
      </w:r>
    </w:p>
    <w:p w:rsidR="00566635" w:rsidRPr="00090A91" w:rsidRDefault="00566635" w:rsidP="00684D55">
      <w:pPr>
        <w:pStyle w:val="ListParagraph"/>
        <w:numPr>
          <w:ilvl w:val="0"/>
          <w:numId w:val="3"/>
        </w:numPr>
        <w:spacing w:before="120" w:after="120" w:line="300" w:lineRule="exact"/>
        <w:contextualSpacing w:val="0"/>
        <w:jc w:val="both"/>
        <w:rPr>
          <w:rFonts w:ascii="Arial" w:hAnsi="Arial"/>
          <w:color w:val="0070C0"/>
          <w:sz w:val="21"/>
          <w:szCs w:val="21"/>
          <w:lang w:bidi="ar-EG"/>
        </w:rPr>
      </w:pPr>
      <w:r w:rsidRPr="00090A91">
        <w:rPr>
          <w:rFonts w:ascii="Arial" w:hAnsi="Arial"/>
          <w:color w:val="0070C0"/>
          <w:sz w:val="21"/>
          <w:szCs w:val="21"/>
          <w:lang w:bidi="ar-EG"/>
        </w:rPr>
        <w:t xml:space="preserve"> </w:t>
      </w:r>
      <w:r w:rsidR="00267C7A" w:rsidRPr="00090A91">
        <w:rPr>
          <w:rFonts w:ascii="Arial" w:hAnsi="Arial"/>
          <w:color w:val="0070C0"/>
          <w:sz w:val="21"/>
          <w:szCs w:val="21"/>
          <w:lang w:bidi="ar-EG"/>
        </w:rPr>
        <w:t>ECA Senior managers</w:t>
      </w:r>
      <w:r w:rsidRPr="00090A91">
        <w:rPr>
          <w:rFonts w:ascii="Arial" w:hAnsi="Arial"/>
          <w:color w:val="0070C0"/>
          <w:sz w:val="21"/>
          <w:szCs w:val="21"/>
          <w:lang w:bidi="ar-EG"/>
        </w:rPr>
        <w:t>.</w:t>
      </w:r>
    </w:p>
    <w:p w:rsidR="00DC358C" w:rsidRDefault="005E30EE" w:rsidP="00684D55">
      <w:pPr>
        <w:spacing w:before="120" w:after="120" w:line="300" w:lineRule="exact"/>
        <w:rPr>
          <w:rFonts w:ascii="Arial" w:hAnsi="Arial" w:cs="Arial"/>
          <w:color w:val="0070C0"/>
          <w:sz w:val="21"/>
          <w:szCs w:val="21"/>
          <w:lang w:bidi="ar-EG"/>
        </w:rPr>
      </w:pPr>
      <w:r w:rsidRPr="00090A91">
        <w:rPr>
          <w:rFonts w:ascii="Arial" w:hAnsi="Arial" w:cs="Arial"/>
          <w:color w:val="0070C0"/>
          <w:sz w:val="21"/>
          <w:szCs w:val="21"/>
          <w:lang w:bidi="ar-EG"/>
        </w:rPr>
        <w:t>Nomination of suitable participants is the responsibility of the ECA</w:t>
      </w:r>
      <w:r w:rsidR="00566635" w:rsidRPr="00090A91">
        <w:rPr>
          <w:rFonts w:ascii="Arial" w:hAnsi="Arial" w:cs="Arial"/>
          <w:color w:val="0070C0"/>
          <w:sz w:val="21"/>
          <w:szCs w:val="21"/>
          <w:lang w:bidi="ar-EG"/>
        </w:rPr>
        <w:t>.</w:t>
      </w:r>
      <w:bookmarkEnd w:id="0"/>
    </w:p>
    <w:p w:rsidR="00090A91" w:rsidRPr="00090A91" w:rsidRDefault="00090A91" w:rsidP="00684D55">
      <w:pPr>
        <w:spacing w:before="120" w:after="120" w:line="300" w:lineRule="exact"/>
        <w:rPr>
          <w:rFonts w:ascii="Arial" w:hAnsi="Arial" w:cs="Arial"/>
          <w:color w:val="0070C0"/>
          <w:sz w:val="21"/>
          <w:szCs w:val="21"/>
        </w:rPr>
      </w:pPr>
    </w:p>
    <w:p w:rsidR="005E30EE" w:rsidRPr="00090A91" w:rsidRDefault="005E30EE" w:rsidP="00090A91">
      <w:pPr>
        <w:pStyle w:val="ListParagraph"/>
        <w:numPr>
          <w:ilvl w:val="0"/>
          <w:numId w:val="2"/>
        </w:numPr>
        <w:spacing w:before="120" w:after="120" w:line="300" w:lineRule="exact"/>
        <w:ind w:left="709" w:hanging="709"/>
        <w:contextualSpacing w:val="0"/>
        <w:jc w:val="both"/>
        <w:rPr>
          <w:rFonts w:ascii="Arial" w:hAnsi="Arial"/>
          <w:color w:val="0070C0"/>
          <w:sz w:val="21"/>
          <w:szCs w:val="21"/>
        </w:rPr>
      </w:pPr>
      <w:r w:rsidRPr="00090A91">
        <w:rPr>
          <w:rFonts w:ascii="Arial" w:hAnsi="Arial"/>
          <w:b/>
          <w:bCs/>
          <w:color w:val="0070C0"/>
          <w:sz w:val="21"/>
          <w:szCs w:val="21"/>
        </w:rPr>
        <w:t>Experts/Resource Persons:</w:t>
      </w:r>
    </w:p>
    <w:p w:rsidR="005E30EE" w:rsidRPr="00090A91" w:rsidRDefault="00566635" w:rsidP="00684D55">
      <w:pPr>
        <w:pStyle w:val="ListParagraph"/>
        <w:numPr>
          <w:ilvl w:val="0"/>
          <w:numId w:val="1"/>
        </w:numPr>
        <w:spacing w:before="120" w:after="120" w:line="300" w:lineRule="exact"/>
        <w:ind w:left="540" w:firstLine="0"/>
        <w:contextualSpacing w:val="0"/>
        <w:jc w:val="both"/>
        <w:rPr>
          <w:rFonts w:ascii="Arial" w:hAnsi="Arial"/>
          <w:color w:val="0070C0"/>
          <w:sz w:val="21"/>
          <w:szCs w:val="21"/>
          <w:u w:val="single"/>
          <w:lang w:val="en-GB"/>
        </w:rPr>
      </w:pPr>
      <w:r w:rsidRPr="00090A91">
        <w:rPr>
          <w:rFonts w:ascii="Arial" w:hAnsi="Arial"/>
          <w:color w:val="0070C0"/>
          <w:sz w:val="21"/>
          <w:szCs w:val="21"/>
          <w:lang w:val="en-GB"/>
        </w:rPr>
        <w:t xml:space="preserve"> </w:t>
      </w:r>
      <w:r w:rsidR="005E30EE" w:rsidRPr="00090A91">
        <w:rPr>
          <w:rFonts w:ascii="Arial" w:hAnsi="Arial"/>
          <w:color w:val="0070C0"/>
          <w:sz w:val="21"/>
          <w:szCs w:val="21"/>
          <w:lang w:val="en-GB"/>
        </w:rPr>
        <w:t>The technical team of UNDP.</w:t>
      </w:r>
    </w:p>
    <w:p w:rsidR="005E30EE" w:rsidRPr="00090A91" w:rsidRDefault="00566635" w:rsidP="00684D55">
      <w:pPr>
        <w:pStyle w:val="ListParagraph"/>
        <w:numPr>
          <w:ilvl w:val="0"/>
          <w:numId w:val="1"/>
        </w:numPr>
        <w:spacing w:before="120" w:after="120" w:line="300" w:lineRule="exact"/>
        <w:ind w:left="540" w:firstLine="0"/>
        <w:contextualSpacing w:val="0"/>
        <w:jc w:val="both"/>
        <w:rPr>
          <w:rFonts w:ascii="Arial" w:hAnsi="Arial"/>
          <w:color w:val="0070C0"/>
          <w:sz w:val="21"/>
          <w:szCs w:val="21"/>
          <w:u w:val="single"/>
          <w:lang w:val="en-GB"/>
        </w:rPr>
      </w:pPr>
      <w:r w:rsidRPr="00090A91">
        <w:rPr>
          <w:rFonts w:ascii="Arial" w:hAnsi="Arial"/>
          <w:color w:val="0070C0"/>
          <w:sz w:val="21"/>
          <w:szCs w:val="21"/>
          <w:lang w:val="en-GB"/>
        </w:rPr>
        <w:lastRenderedPageBreak/>
        <w:t xml:space="preserve"> </w:t>
      </w:r>
      <w:r w:rsidR="00DC358C" w:rsidRPr="00090A91">
        <w:rPr>
          <w:rFonts w:ascii="Arial" w:hAnsi="Arial"/>
          <w:color w:val="0070C0"/>
          <w:sz w:val="21"/>
          <w:szCs w:val="21"/>
          <w:lang w:val="en-GB"/>
        </w:rPr>
        <w:t>An international expert on NSW</w:t>
      </w:r>
    </w:p>
    <w:p w:rsidR="005E30EE" w:rsidRPr="00090A91" w:rsidRDefault="00566635" w:rsidP="005E30EE">
      <w:pPr>
        <w:pStyle w:val="ListParagraph"/>
        <w:spacing w:before="120" w:after="120" w:line="280" w:lineRule="exact"/>
        <w:ind w:left="540"/>
        <w:contextualSpacing w:val="0"/>
        <w:jc w:val="both"/>
        <w:rPr>
          <w:rFonts w:asciiTheme="minorHAnsi" w:hAnsiTheme="minorHAnsi" w:cstheme="minorHAnsi"/>
          <w:color w:val="0070C0"/>
          <w:sz w:val="24"/>
          <w:szCs w:val="24"/>
        </w:rPr>
      </w:pPr>
      <w:r w:rsidRPr="00090A91">
        <w:rPr>
          <w:rFonts w:ascii="Arial" w:hAnsi="Arial"/>
          <w:color w:val="0070C0"/>
          <w:sz w:val="21"/>
          <w:szCs w:val="21"/>
          <w:lang w:val="en-GB"/>
        </w:rPr>
        <w:t xml:space="preserve"> Sharing experiences: Jordan Customs. </w:t>
      </w:r>
    </w:p>
    <w:p w:rsidR="00971956" w:rsidRPr="00FE78EC" w:rsidRDefault="00971956" w:rsidP="00FE78EC">
      <w:bookmarkStart w:id="1" w:name="_GoBack"/>
      <w:bookmarkEnd w:id="1"/>
    </w:p>
    <w:p w:rsidR="00CB29AF" w:rsidRPr="00CB29AF" w:rsidRDefault="00CB29AF" w:rsidP="00090A91">
      <w:pPr>
        <w:spacing w:before="120" w:after="0" w:line="300" w:lineRule="exact"/>
        <w:rPr>
          <w:rFonts w:ascii="Arial" w:hAnsi="Arial" w:cs="Arial"/>
          <w:color w:val="7030A0"/>
          <w:sz w:val="20"/>
          <w:szCs w:val="20"/>
        </w:rPr>
      </w:pPr>
    </w:p>
    <w:sectPr w:rsidR="00CB29AF" w:rsidRPr="00CB29AF" w:rsidSect="00977E4D">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47C4F" w:rsidRDefault="00147C4F" w:rsidP="00D2033C">
      <w:pPr>
        <w:spacing w:after="0" w:line="240" w:lineRule="auto"/>
      </w:pPr>
      <w:r>
        <w:separator/>
      </w:r>
    </w:p>
  </w:endnote>
  <w:endnote w:type="continuationSeparator" w:id="0">
    <w:p w:rsidR="00147C4F" w:rsidRDefault="00147C4F" w:rsidP="00D203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98955647"/>
      <w:docPartObj>
        <w:docPartGallery w:val="Page Numbers (Bottom of Page)"/>
        <w:docPartUnique/>
      </w:docPartObj>
    </w:sdtPr>
    <w:sdtEndPr>
      <w:rPr>
        <w:color w:val="7F7F7F" w:themeColor="background1" w:themeShade="7F"/>
        <w:spacing w:val="60"/>
        <w:sz w:val="18"/>
        <w:szCs w:val="18"/>
      </w:rPr>
    </w:sdtEndPr>
    <w:sdtContent>
      <w:p w:rsidR="00D2033C" w:rsidRPr="00DB6285" w:rsidRDefault="00D2033C">
        <w:pPr>
          <w:pStyle w:val="Footer"/>
          <w:pBdr>
            <w:top w:val="single" w:sz="4" w:space="1" w:color="D9D9D9" w:themeColor="background1" w:themeShade="D9"/>
          </w:pBdr>
          <w:rPr>
            <w:b/>
            <w:bCs/>
            <w:sz w:val="18"/>
            <w:szCs w:val="18"/>
          </w:rPr>
        </w:pPr>
        <w:r w:rsidRPr="00DB6285">
          <w:rPr>
            <w:sz w:val="18"/>
            <w:szCs w:val="18"/>
          </w:rPr>
          <w:fldChar w:fldCharType="begin"/>
        </w:r>
        <w:r w:rsidRPr="00DB6285">
          <w:rPr>
            <w:sz w:val="18"/>
            <w:szCs w:val="18"/>
          </w:rPr>
          <w:instrText xml:space="preserve"> PAGE   \* MERGEFORMAT </w:instrText>
        </w:r>
        <w:r w:rsidRPr="00DB6285">
          <w:rPr>
            <w:sz w:val="18"/>
            <w:szCs w:val="18"/>
          </w:rPr>
          <w:fldChar w:fldCharType="separate"/>
        </w:r>
        <w:r w:rsidRPr="00DB6285">
          <w:rPr>
            <w:b/>
            <w:bCs/>
            <w:noProof/>
            <w:sz w:val="18"/>
            <w:szCs w:val="18"/>
          </w:rPr>
          <w:t>2</w:t>
        </w:r>
        <w:r w:rsidRPr="00DB6285">
          <w:rPr>
            <w:b/>
            <w:bCs/>
            <w:noProof/>
            <w:sz w:val="18"/>
            <w:szCs w:val="18"/>
          </w:rPr>
          <w:fldChar w:fldCharType="end"/>
        </w:r>
        <w:r w:rsidRPr="00DB6285">
          <w:rPr>
            <w:b/>
            <w:bCs/>
            <w:sz w:val="18"/>
            <w:szCs w:val="18"/>
          </w:rPr>
          <w:t xml:space="preserve"> | </w:t>
        </w:r>
        <w:r w:rsidRPr="00DB6285">
          <w:rPr>
            <w:color w:val="7F7F7F" w:themeColor="background1" w:themeShade="7F"/>
            <w:spacing w:val="60"/>
            <w:sz w:val="18"/>
            <w:szCs w:val="18"/>
          </w:rPr>
          <w:t>National Seminar 1 on Egypt National Single Window 2019</w:t>
        </w:r>
      </w:p>
    </w:sdtContent>
  </w:sdt>
  <w:p w:rsidR="00D2033C" w:rsidRDefault="00D203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47C4F" w:rsidRDefault="00147C4F" w:rsidP="00D2033C">
      <w:pPr>
        <w:spacing w:after="0" w:line="240" w:lineRule="auto"/>
      </w:pPr>
      <w:r>
        <w:separator/>
      </w:r>
    </w:p>
  </w:footnote>
  <w:footnote w:type="continuationSeparator" w:id="0">
    <w:p w:rsidR="00147C4F" w:rsidRDefault="00147C4F" w:rsidP="00D203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35A25"/>
    <w:multiLevelType w:val="hybridMultilevel"/>
    <w:tmpl w:val="25DA82B4"/>
    <w:lvl w:ilvl="0" w:tplc="EF8EC2E8">
      <w:numFmt w:val="bullet"/>
      <w:lvlText w:val="-"/>
      <w:lvlJc w:val="left"/>
      <w:pPr>
        <w:ind w:left="720" w:hanging="360"/>
      </w:pPr>
      <w:rPr>
        <w:rFonts w:ascii="Calibri" w:eastAsiaTheme="minorHAnsi" w:hAnsi="Calibri" w:cstheme="minorBidi" w:hint="default"/>
        <w:b w:val="0"/>
        <w:bCs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F26A37"/>
    <w:multiLevelType w:val="hybridMultilevel"/>
    <w:tmpl w:val="EBC2270C"/>
    <w:lvl w:ilvl="0" w:tplc="F0DA778E">
      <w:start w:val="1"/>
      <w:numFmt w:val="upp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10141A"/>
    <w:multiLevelType w:val="hybridMultilevel"/>
    <w:tmpl w:val="C6E4A04E"/>
    <w:lvl w:ilvl="0" w:tplc="0809000B">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15:restartNumberingAfterBreak="0">
    <w:nsid w:val="05AD6720"/>
    <w:multiLevelType w:val="hybridMultilevel"/>
    <w:tmpl w:val="9ABC84DC"/>
    <w:lvl w:ilvl="0" w:tplc="599E564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9B7C8B"/>
    <w:multiLevelType w:val="hybridMultilevel"/>
    <w:tmpl w:val="F42254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F4A5D3B"/>
    <w:multiLevelType w:val="hybridMultilevel"/>
    <w:tmpl w:val="D17E7F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5397EBE"/>
    <w:multiLevelType w:val="hybridMultilevel"/>
    <w:tmpl w:val="1C6CCD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AF16787"/>
    <w:multiLevelType w:val="hybridMultilevel"/>
    <w:tmpl w:val="D80CC6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B3A5E0C"/>
    <w:multiLevelType w:val="hybridMultilevel"/>
    <w:tmpl w:val="918419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5B3B3C"/>
    <w:multiLevelType w:val="hybridMultilevel"/>
    <w:tmpl w:val="4FBA2338"/>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F2F235E"/>
    <w:multiLevelType w:val="hybridMultilevel"/>
    <w:tmpl w:val="250ED3E2"/>
    <w:lvl w:ilvl="0" w:tplc="3E76B1FE">
      <w:start w:val="1"/>
      <w:numFmt w:val="upp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0956059"/>
    <w:multiLevelType w:val="hybridMultilevel"/>
    <w:tmpl w:val="F26EEE66"/>
    <w:lvl w:ilvl="0" w:tplc="897A737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D9C0D33"/>
    <w:multiLevelType w:val="hybridMultilevel"/>
    <w:tmpl w:val="EDB4B7C6"/>
    <w:lvl w:ilvl="0" w:tplc="C49AED0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35E008F"/>
    <w:multiLevelType w:val="hybridMultilevel"/>
    <w:tmpl w:val="5CDCF5B4"/>
    <w:lvl w:ilvl="0" w:tplc="04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8"/>
  </w:num>
  <w:num w:numId="4">
    <w:abstractNumId w:val="9"/>
  </w:num>
  <w:num w:numId="5">
    <w:abstractNumId w:val="0"/>
  </w:num>
  <w:num w:numId="6">
    <w:abstractNumId w:val="12"/>
  </w:num>
  <w:num w:numId="7">
    <w:abstractNumId w:val="13"/>
  </w:num>
  <w:num w:numId="8">
    <w:abstractNumId w:val="7"/>
  </w:num>
  <w:num w:numId="9">
    <w:abstractNumId w:val="5"/>
  </w:num>
  <w:num w:numId="10">
    <w:abstractNumId w:val="10"/>
  </w:num>
  <w:num w:numId="11">
    <w:abstractNumId w:val="2"/>
  </w:num>
  <w:num w:numId="12">
    <w:abstractNumId w:val="4"/>
  </w:num>
  <w:num w:numId="13">
    <w:abstractNumId w:val="11"/>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4D69"/>
    <w:rsid w:val="0005420C"/>
    <w:rsid w:val="00090A91"/>
    <w:rsid w:val="000964D5"/>
    <w:rsid w:val="001052EE"/>
    <w:rsid w:val="00127054"/>
    <w:rsid w:val="00147C4F"/>
    <w:rsid w:val="001518C0"/>
    <w:rsid w:val="001A20CD"/>
    <w:rsid w:val="001F79FA"/>
    <w:rsid w:val="00263D6F"/>
    <w:rsid w:val="00267C7A"/>
    <w:rsid w:val="0028255E"/>
    <w:rsid w:val="002A27B9"/>
    <w:rsid w:val="002B3819"/>
    <w:rsid w:val="002C7929"/>
    <w:rsid w:val="003E33E3"/>
    <w:rsid w:val="00435FFD"/>
    <w:rsid w:val="004A0749"/>
    <w:rsid w:val="004C5D96"/>
    <w:rsid w:val="00507061"/>
    <w:rsid w:val="00561152"/>
    <w:rsid w:val="00566635"/>
    <w:rsid w:val="005D6B80"/>
    <w:rsid w:val="005E30EE"/>
    <w:rsid w:val="005F22A2"/>
    <w:rsid w:val="00610A37"/>
    <w:rsid w:val="006243BB"/>
    <w:rsid w:val="00684D55"/>
    <w:rsid w:val="006D2C8A"/>
    <w:rsid w:val="006F255B"/>
    <w:rsid w:val="007D4D69"/>
    <w:rsid w:val="00834041"/>
    <w:rsid w:val="008720B7"/>
    <w:rsid w:val="00894646"/>
    <w:rsid w:val="008C3006"/>
    <w:rsid w:val="008F2946"/>
    <w:rsid w:val="008F2A29"/>
    <w:rsid w:val="00922F4C"/>
    <w:rsid w:val="00926CE0"/>
    <w:rsid w:val="00935814"/>
    <w:rsid w:val="00971956"/>
    <w:rsid w:val="00977E4D"/>
    <w:rsid w:val="009835D5"/>
    <w:rsid w:val="00986843"/>
    <w:rsid w:val="009E6358"/>
    <w:rsid w:val="00A20894"/>
    <w:rsid w:val="00A4011A"/>
    <w:rsid w:val="00A52EB7"/>
    <w:rsid w:val="00A71B42"/>
    <w:rsid w:val="00AF345F"/>
    <w:rsid w:val="00B369B1"/>
    <w:rsid w:val="00B514E5"/>
    <w:rsid w:val="00B67925"/>
    <w:rsid w:val="00B75496"/>
    <w:rsid w:val="00C71664"/>
    <w:rsid w:val="00C72330"/>
    <w:rsid w:val="00C859C0"/>
    <w:rsid w:val="00C90502"/>
    <w:rsid w:val="00CB29AF"/>
    <w:rsid w:val="00CE0BA7"/>
    <w:rsid w:val="00D2033C"/>
    <w:rsid w:val="00D5138C"/>
    <w:rsid w:val="00D77BA6"/>
    <w:rsid w:val="00DA7B90"/>
    <w:rsid w:val="00DB6285"/>
    <w:rsid w:val="00DC358C"/>
    <w:rsid w:val="00DE0378"/>
    <w:rsid w:val="00E27EB8"/>
    <w:rsid w:val="00E3659F"/>
    <w:rsid w:val="00E86698"/>
    <w:rsid w:val="00EA05FD"/>
    <w:rsid w:val="00F13F3C"/>
    <w:rsid w:val="00F315C4"/>
    <w:rsid w:val="00F45318"/>
    <w:rsid w:val="00F7311A"/>
    <w:rsid w:val="00F80A38"/>
    <w:rsid w:val="00F814FA"/>
    <w:rsid w:val="00FE78E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694B54A"/>
  <w15:docId w15:val="{9E218F44-0C7E-4E3D-BF3E-928BEBA5E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77E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2">
    <w:name w:val="H2"/>
    <w:basedOn w:val="Normal"/>
    <w:next w:val="Normal"/>
    <w:uiPriority w:val="99"/>
    <w:rsid w:val="007D4D69"/>
    <w:pPr>
      <w:keepNext/>
      <w:autoSpaceDE w:val="0"/>
      <w:autoSpaceDN w:val="0"/>
      <w:adjustRightInd w:val="0"/>
      <w:spacing w:before="100" w:after="100" w:line="240" w:lineRule="auto"/>
      <w:outlineLvl w:val="2"/>
    </w:pPr>
    <w:rPr>
      <w:rFonts w:ascii="Times New Roman" w:hAnsi="Times New Roman" w:cs="Times New Roman"/>
      <w:b/>
      <w:bCs/>
      <w:sz w:val="36"/>
      <w:szCs w:val="36"/>
    </w:rPr>
  </w:style>
  <w:style w:type="paragraph" w:styleId="ListParagraph">
    <w:name w:val="List Paragraph"/>
    <w:basedOn w:val="Normal"/>
    <w:uiPriority w:val="34"/>
    <w:qFormat/>
    <w:rsid w:val="005E30EE"/>
    <w:pPr>
      <w:spacing w:after="0" w:line="240" w:lineRule="auto"/>
      <w:ind w:left="720"/>
      <w:contextualSpacing/>
    </w:pPr>
    <w:rPr>
      <w:rFonts w:ascii="Calibri" w:eastAsia="Calibri" w:hAnsi="Calibri" w:cs="Arial"/>
    </w:rPr>
  </w:style>
  <w:style w:type="table" w:styleId="TableGrid">
    <w:name w:val="Table Grid"/>
    <w:basedOn w:val="TableNormal"/>
    <w:uiPriority w:val="99"/>
    <w:rsid w:val="005E30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F29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2946"/>
    <w:rPr>
      <w:rFonts w:ascii="Tahoma" w:hAnsi="Tahoma" w:cs="Tahoma"/>
      <w:sz w:val="16"/>
      <w:szCs w:val="16"/>
    </w:rPr>
  </w:style>
  <w:style w:type="paragraph" w:styleId="Header">
    <w:name w:val="header"/>
    <w:basedOn w:val="Normal"/>
    <w:link w:val="HeaderChar"/>
    <w:uiPriority w:val="99"/>
    <w:unhideWhenUsed/>
    <w:rsid w:val="00D203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033C"/>
  </w:style>
  <w:style w:type="paragraph" w:styleId="Footer">
    <w:name w:val="footer"/>
    <w:basedOn w:val="Normal"/>
    <w:link w:val="FooterChar"/>
    <w:uiPriority w:val="99"/>
    <w:unhideWhenUsed/>
    <w:rsid w:val="00D203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033C"/>
  </w:style>
  <w:style w:type="paragraph" w:styleId="Revision">
    <w:name w:val="Revision"/>
    <w:hidden/>
    <w:uiPriority w:val="99"/>
    <w:semiHidden/>
    <w:rsid w:val="00FE78E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0034395">
      <w:bodyDiv w:val="1"/>
      <w:marLeft w:val="0"/>
      <w:marRight w:val="0"/>
      <w:marTop w:val="0"/>
      <w:marBottom w:val="0"/>
      <w:divBdr>
        <w:top w:val="none" w:sz="0" w:space="0" w:color="auto"/>
        <w:left w:val="none" w:sz="0" w:space="0" w:color="auto"/>
        <w:bottom w:val="none" w:sz="0" w:space="0" w:color="auto"/>
        <w:right w:val="none" w:sz="0" w:space="0" w:color="auto"/>
      </w:divBdr>
      <w:divsChild>
        <w:div w:id="729153635">
          <w:marLeft w:val="0"/>
          <w:marRight w:val="0"/>
          <w:marTop w:val="0"/>
          <w:marBottom w:val="0"/>
          <w:divBdr>
            <w:top w:val="none" w:sz="0" w:space="0" w:color="auto"/>
            <w:left w:val="none" w:sz="0" w:space="0" w:color="auto"/>
            <w:bottom w:val="none" w:sz="0" w:space="0" w:color="auto"/>
            <w:right w:val="none" w:sz="0" w:space="0" w:color="auto"/>
          </w:divBdr>
        </w:div>
        <w:div w:id="1447582442">
          <w:marLeft w:val="0"/>
          <w:marRight w:val="0"/>
          <w:marTop w:val="0"/>
          <w:marBottom w:val="0"/>
          <w:divBdr>
            <w:top w:val="none" w:sz="0" w:space="0" w:color="auto"/>
            <w:left w:val="none" w:sz="0" w:space="0" w:color="auto"/>
            <w:bottom w:val="none" w:sz="0" w:space="0" w:color="auto"/>
            <w:right w:val="none" w:sz="0" w:space="0" w:color="auto"/>
          </w:divBdr>
        </w:div>
        <w:div w:id="1508253126">
          <w:marLeft w:val="0"/>
          <w:marRight w:val="0"/>
          <w:marTop w:val="0"/>
          <w:marBottom w:val="0"/>
          <w:divBdr>
            <w:top w:val="none" w:sz="0" w:space="0" w:color="auto"/>
            <w:left w:val="none" w:sz="0" w:space="0" w:color="auto"/>
            <w:bottom w:val="none" w:sz="0" w:space="0" w:color="auto"/>
            <w:right w:val="none" w:sz="0" w:space="0" w:color="auto"/>
          </w:divBdr>
        </w:div>
        <w:div w:id="1541085625">
          <w:marLeft w:val="0"/>
          <w:marRight w:val="0"/>
          <w:marTop w:val="0"/>
          <w:marBottom w:val="0"/>
          <w:divBdr>
            <w:top w:val="none" w:sz="0" w:space="0" w:color="auto"/>
            <w:left w:val="none" w:sz="0" w:space="0" w:color="auto"/>
            <w:bottom w:val="none" w:sz="0" w:space="0" w:color="auto"/>
            <w:right w:val="none" w:sz="0" w:space="0" w:color="auto"/>
          </w:divBdr>
        </w:div>
        <w:div w:id="17074410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5B93B4-A1B4-46B1-B35A-58E6780BE7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1105</Words>
  <Characters>6304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ENSW Seminar 1-2019</vt:lpstr>
    </vt:vector>
  </TitlesOfParts>
  <Company/>
  <LinksUpToDate>false</LinksUpToDate>
  <CharactersWithSpaces>7395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ENSW Seminar 1-2019</dc:title>
  <dc:subject/>
  <dc:creator>Nihal El Nahas;Quang Anh Le, CTA</dc:creator>
  <cp:keywords>Support to Egypt</cp:keywords>
  <dc:description/>
  <cp:lastModifiedBy>Judy Sbayti</cp:lastModifiedBy>
  <cp:revision>2</cp:revision>
  <dcterms:created xsi:type="dcterms:W3CDTF">2019-01-17T12:41:00Z</dcterms:created>
  <dcterms:modified xsi:type="dcterms:W3CDTF">2019-01-17T12:41:00Z</dcterms:modified>
</cp:coreProperties>
</file>